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jc w:val="both"/>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rPr>
        <w:t>新疆美术馆（自治区书法艺术发展中心）</w:t>
      </w:r>
      <w:r>
        <w:rPr>
          <w:rFonts w:eastAsia="方正小标宋_GBK"/>
          <w:kern w:val="0"/>
          <w:sz w:val="48"/>
          <w:szCs w:val="48"/>
        </w:rPr>
        <w:t>资金项目支出绩效评价</w:t>
      </w:r>
    </w:p>
    <w:p>
      <w:pPr>
        <w:spacing w:line="540" w:lineRule="exact"/>
        <w:jc w:val="center"/>
        <w:rPr>
          <w:rFonts w:eastAsia="方正小标宋_GBK"/>
          <w:kern w:val="0"/>
          <w:sz w:val="48"/>
          <w:szCs w:val="48"/>
        </w:rPr>
      </w:pPr>
      <w:r>
        <w:rPr>
          <w:rFonts w:eastAsia="方正小标宋_GBK"/>
          <w:kern w:val="0"/>
          <w:sz w:val="48"/>
          <w:szCs w:val="48"/>
        </w:rPr>
        <w:t>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jc w:val="left"/>
        <w:rPr>
          <w:rFonts w:ascii="仿宋_GB2312" w:hAnsi="仿宋_GB2312" w:eastAsia="仿宋_GB2312" w:cs="仿宋_GB2312"/>
          <w:kern w:val="0"/>
          <w:sz w:val="36"/>
          <w:szCs w:val="36"/>
        </w:rPr>
      </w:pPr>
      <w:r>
        <w:rPr>
          <w:rFonts w:eastAsia="仿宋_GB2312"/>
          <w:kern w:val="0"/>
          <w:sz w:val="36"/>
          <w:szCs w:val="36"/>
        </w:rPr>
        <w:t>项目名称：</w:t>
      </w:r>
      <w:r>
        <w:rPr>
          <w:rFonts w:hint="eastAsia" w:ascii="仿宋_GB2312" w:hAnsi="仿宋_GB2312" w:eastAsia="仿宋_GB2312" w:cs="仿宋_GB2312"/>
          <w:kern w:val="0"/>
          <w:sz w:val="36"/>
          <w:szCs w:val="36"/>
        </w:rPr>
        <w:t>免费开放运行保障经费</w:t>
      </w:r>
    </w:p>
    <w:p>
      <w:pPr>
        <w:spacing w:line="700" w:lineRule="exact"/>
        <w:jc w:val="left"/>
        <w:rPr>
          <w:rFonts w:ascii="仿宋_GB2312" w:hAnsi="仿宋_GB2312" w:eastAsia="仿宋_GB2312" w:cs="仿宋_GB2312"/>
          <w:kern w:val="0"/>
          <w:sz w:val="36"/>
          <w:szCs w:val="36"/>
        </w:rPr>
      </w:pPr>
      <w:r>
        <w:rPr>
          <w:rFonts w:eastAsia="仿宋_GB2312"/>
          <w:kern w:val="0"/>
          <w:sz w:val="36"/>
          <w:szCs w:val="36"/>
        </w:rPr>
        <w:t>实施单位（公章）：</w:t>
      </w:r>
      <w:r>
        <w:rPr>
          <w:rFonts w:hint="eastAsia" w:ascii="仿宋_GB2312" w:hAnsi="仿宋_GB2312" w:eastAsia="仿宋_GB2312" w:cs="仿宋_GB2312"/>
          <w:kern w:val="0"/>
          <w:sz w:val="36"/>
          <w:szCs w:val="36"/>
        </w:rPr>
        <w:t>新疆美术馆</w:t>
      </w:r>
      <w:r>
        <w:rPr>
          <w:rFonts w:hint="eastAsia" w:ascii="仿宋_GB2312" w:hAnsi="仿宋_GB2312" w:eastAsia="仿宋_GB2312" w:cs="仿宋_GB2312"/>
          <w:sz w:val="36"/>
          <w:szCs w:val="36"/>
        </w:rPr>
        <w:t>（自治区书法艺术发展中心）</w:t>
      </w:r>
    </w:p>
    <w:p>
      <w:pPr>
        <w:rPr>
          <w:rFonts w:ascii="仿宋_GB2312" w:hAnsi="仿宋_GB2312" w:eastAsia="仿宋_GB2312" w:cs="仿宋_GB2312"/>
          <w:sz w:val="36"/>
          <w:szCs w:val="36"/>
        </w:rPr>
      </w:pPr>
      <w:r>
        <w:rPr>
          <w:rFonts w:eastAsia="仿宋_GB2312"/>
          <w:kern w:val="0"/>
          <w:sz w:val="36"/>
          <w:szCs w:val="36"/>
        </w:rPr>
        <w:t>主管部门（公章）：</w:t>
      </w:r>
      <w:r>
        <w:rPr>
          <w:rFonts w:hint="eastAsia" w:ascii="仿宋_GB2312" w:hAnsi="仿宋_GB2312" w:eastAsia="仿宋_GB2312" w:cs="仿宋_GB2312"/>
          <w:sz w:val="36"/>
          <w:szCs w:val="36"/>
        </w:rPr>
        <w:t>新疆维吾尔自治区文化和旅游厅</w:t>
      </w:r>
    </w:p>
    <w:p>
      <w:pPr>
        <w:spacing w:line="700" w:lineRule="exact"/>
        <w:jc w:val="left"/>
        <w:rPr>
          <w:rFonts w:ascii="仿宋_GB2312" w:hAnsi="仿宋_GB2312" w:eastAsia="仿宋_GB2312" w:cs="仿宋_GB2312"/>
          <w:kern w:val="0"/>
          <w:sz w:val="36"/>
          <w:szCs w:val="36"/>
        </w:rPr>
      </w:pPr>
      <w:r>
        <w:rPr>
          <w:rFonts w:eastAsia="仿宋_GB2312"/>
          <w:kern w:val="0"/>
          <w:sz w:val="36"/>
          <w:szCs w:val="36"/>
        </w:rPr>
        <w:t>项目负责人（签章）：</w:t>
      </w:r>
      <w:r>
        <w:rPr>
          <w:rFonts w:hint="eastAsia" w:ascii="仿宋_GB2312" w:hAnsi="仿宋_GB2312" w:eastAsia="仿宋_GB2312" w:cs="仿宋_GB2312"/>
          <w:kern w:val="0"/>
          <w:sz w:val="36"/>
          <w:szCs w:val="36"/>
        </w:rPr>
        <w:t>张利军</w:t>
      </w:r>
    </w:p>
    <w:p>
      <w:pPr>
        <w:spacing w:line="700" w:lineRule="exact"/>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4</w:t>
      </w:r>
      <w:r>
        <w:rPr>
          <w:rFonts w:eastAsia="仿宋_GB2312"/>
          <w:kern w:val="0"/>
          <w:sz w:val="36"/>
          <w:szCs w:val="36"/>
        </w:rPr>
        <w:t>月</w:t>
      </w:r>
      <w:r>
        <w:rPr>
          <w:rFonts w:hint="eastAsia" w:eastAsia="仿宋_GB2312"/>
          <w:kern w:val="0"/>
          <w:sz w:val="36"/>
          <w:szCs w:val="36"/>
          <w:lang w:val="en-US" w:eastAsia="zh-CN"/>
        </w:rPr>
        <w:t>10</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60" w:lineRule="exact"/>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2" w:firstLineChars="200"/>
        <w:rPr>
          <w:rFonts w:eastAsia="楷体_GB2312"/>
          <w:b/>
          <w:bCs/>
          <w:sz w:val="32"/>
          <w:szCs w:val="32"/>
        </w:rPr>
      </w:pPr>
      <w:r>
        <w:rPr>
          <w:rFonts w:eastAsia="楷体_GB2312"/>
          <w:b/>
          <w:bCs/>
          <w:sz w:val="32"/>
          <w:szCs w:val="32"/>
        </w:rPr>
        <w:t>（一）项目概况</w:t>
      </w:r>
    </w:p>
    <w:p>
      <w:pPr>
        <w:spacing w:line="560" w:lineRule="exact"/>
        <w:ind w:firstLine="642"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项目背景</w:t>
      </w:r>
    </w:p>
    <w:p>
      <w:pPr>
        <w:spacing w:line="540" w:lineRule="exact"/>
        <w:ind w:firstLine="579" w:firstLineChars="18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公共文化服务保障法》，中共中央办公厅、国务院办公厅《关于加快现代公共文化服务体系建设的意见》，《国家基本公共文化服务指导标准》(中办发[2015]2号)，自治区党委办公厅、自治区人民政府办公厅《自治区关于加快构建现代公共文化服务体系的实施意见》(新党办发[2016]50号)，财政部《陈列展览项目支出预算方案编制规范和预算编制标准试行办法》的通知(财办预[2017]56号)等文件精神申请下拨350万免费开放运行保障经费，为新疆美术馆公益性活动经费。</w:t>
      </w:r>
    </w:p>
    <w:p>
      <w:pPr>
        <w:pStyle w:val="2"/>
        <w:numPr>
          <w:numId w:val="0"/>
        </w:numPr>
        <w:spacing w:before="0" w:after="0" w:line="560" w:lineRule="exact"/>
        <w:ind w:firstLine="642" w:firstLineChars="200"/>
        <w:jc w:val="both"/>
        <w:rPr>
          <w:rFonts w:hint="eastAsia" w:ascii="方正仿宋_GBK" w:hAnsi="方正仿宋_GBK" w:eastAsia="方正仿宋_GBK" w:cs="方正仿宋_GBK"/>
          <w:kern w:val="2"/>
        </w:rPr>
      </w:pPr>
      <w:r>
        <w:rPr>
          <w:rFonts w:hint="eastAsia" w:ascii="方正仿宋_GBK" w:hAnsi="方正仿宋_GBK" w:eastAsia="方正仿宋_GBK" w:cs="方正仿宋_GBK"/>
          <w:kern w:val="2"/>
          <w:lang w:val="en-US" w:eastAsia="zh-CN"/>
        </w:rPr>
        <w:t>2.</w:t>
      </w:r>
      <w:r>
        <w:rPr>
          <w:rFonts w:hint="eastAsia" w:ascii="方正仿宋_GBK" w:hAnsi="方正仿宋_GBK" w:eastAsia="方正仿宋_GBK" w:cs="方正仿宋_GBK"/>
          <w:kern w:val="2"/>
        </w:rPr>
        <w:t>项目主要内容</w:t>
      </w:r>
    </w:p>
    <w:p>
      <w:pPr>
        <w:spacing w:line="540" w:lineRule="exact"/>
        <w:ind w:firstLine="579" w:firstLineChars="18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项目主要内容：公教活动场次不少于10场次，举办展览不少于6场次，参观人次不少于15万人次，公众号信息发布不少于30篇，提供公共文化服务不低于200天。</w:t>
      </w:r>
    </w:p>
    <w:p>
      <w:pPr>
        <w:spacing w:line="540" w:lineRule="exact"/>
        <w:ind w:firstLine="579" w:firstLineChars="18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项目实施情况：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022年，新疆美术馆共推出6个重要展览，各展厅共接待17万余人次参观，累计接待172家团体，开展13场公教活动（线下11场，线上2场），活动具体参加人数为881人，活动覆盖人数达438611人（包含线上线下在内），公众号信息发布</w:t>
      </w:r>
      <w:r>
        <w:rPr>
          <w:rFonts w:hint="eastAsia" w:ascii="仿宋_GB2312" w:hAnsi="仿宋_GB2312" w:eastAsia="仿宋_GB2312" w:cs="仿宋_GB2312"/>
          <w:color w:val="auto"/>
          <w:sz w:val="32"/>
          <w:szCs w:val="32"/>
          <w:lang w:val="en-US" w:eastAsia="zh-CN"/>
        </w:rPr>
        <w:t>64篇，提供公共文化服务209天，</w:t>
      </w:r>
      <w:r>
        <w:rPr>
          <w:rFonts w:hint="eastAsia" w:ascii="仿宋_GB2312" w:hAnsi="仿宋_GB2312" w:eastAsia="仿宋_GB2312" w:cs="仿宋_GB2312"/>
          <w:color w:val="auto"/>
          <w:sz w:val="32"/>
          <w:szCs w:val="32"/>
        </w:rPr>
        <w:t>丰富了新疆人民的艺术生活，提升了大众美育，公共文化服务效能明显提升，圆满完成计划工作，达到了预期效果。</w:t>
      </w:r>
    </w:p>
    <w:p>
      <w:pPr>
        <w:spacing w:line="560" w:lineRule="exact"/>
        <w:ind w:firstLine="642"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该项目年初预算数350万元，全年预算数350万元，实际总投入350万元，该项目资金已全部落实到位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资金来源为当年财政拨款。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该项目年初预算数350万元，全年预算数350万元，全年执行数350万元，预算执行率为100%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主要用于：支付项目实施进程中的各项费用。</w:t>
      </w:r>
    </w:p>
    <w:p>
      <w:pPr>
        <w:spacing w:line="560" w:lineRule="exact"/>
        <w:ind w:firstLine="642"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总</w:t>
      </w:r>
      <w:r>
        <w:rPr>
          <w:rFonts w:eastAsia="仿宋_GB2312"/>
          <w:sz w:val="32"/>
          <w:szCs w:val="32"/>
        </w:rPr>
        <w:t>体目标</w:t>
      </w:r>
    </w:p>
    <w:p>
      <w:pPr>
        <w:pStyle w:val="2"/>
        <w:rPr>
          <w:rFonts w:hint="eastAsia"/>
          <w:color w:val="auto"/>
          <w:lang w:eastAsia="zh-CN"/>
        </w:rPr>
      </w:pP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color w:val="0000FF"/>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按照新疆美术馆整体发展战略，开展藏品征集工作，在展示新中国成立以来新疆美术事业发展面貌的同时，以推动中国现当代艺术的国际化发展为主要目标，建构中国现当代美术史的新疆艺术作品收藏体系，完善新疆的艺术研究机制建立中国连接亚欧艺术的学术中心，进一步推动新疆美术事业的发展。</w:t>
      </w:r>
    </w:p>
    <w:p>
      <w:pPr>
        <w:spacing w:line="560" w:lineRule="exact"/>
        <w:ind w:firstLine="640" w:firstLineChars="200"/>
        <w:rPr>
          <w:rFonts w:hint="eastAsia" w:ascii="黑体" w:hAnsi="黑体" w:eastAsia="黑体" w:cs="黑体"/>
          <w:color w:val="000000"/>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阶</w:t>
      </w:r>
      <w:r>
        <w:rPr>
          <w:rFonts w:eastAsia="仿宋_GB2312"/>
          <w:sz w:val="32"/>
          <w:szCs w:val="32"/>
        </w:rPr>
        <w:t>段性目标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（一）围绕中心 服务大局 组织策划系列展览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2022年组织策划展览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场，接待参观者17万余人次。官方公众号发布各类信息共计5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（含线上展览）</w:t>
      </w:r>
      <w:r>
        <w:rPr>
          <w:rFonts w:hint="eastAsia" w:ascii="仿宋_GB2312" w:hAnsi="仿宋_GB2312" w:eastAsia="仿宋_GB2312" w:cs="仿宋_GB2312"/>
          <w:sz w:val="32"/>
          <w:szCs w:val="32"/>
        </w:rPr>
        <w:t>，粉丝量达21万余人，总浏览量为60万余人次。</w:t>
      </w:r>
      <w:r>
        <w:rPr>
          <w:rFonts w:hint="eastAsia" w:ascii="仿宋_GB2312" w:hAnsi="仿宋_GB2312" w:eastAsia="仿宋_GB2312" w:cs="仿宋_GB2312"/>
          <w:b/>
          <w:bCs/>
          <w:sz w:val="32"/>
          <w:szCs w:val="32"/>
        </w:rPr>
        <w:t>一是组织精品展。</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“疆风海韵——中华艺术宫（上海美术馆）馆藏金祥龙作品展”，“丹青之美——上海中国画院作品展”等精品展览，进一步提升了展览的艺术水准和观众的欣赏水平。</w:t>
      </w:r>
      <w:r>
        <w:rPr>
          <w:rFonts w:hint="eastAsia" w:ascii="仿宋_GB2312" w:hAnsi="仿宋_GB2312" w:eastAsia="仿宋_GB2312" w:cs="仿宋_GB2312"/>
          <w:b/>
          <w:bCs/>
          <w:sz w:val="32"/>
          <w:szCs w:val="32"/>
        </w:rPr>
        <w:t>二是举办主题展，主题思想凝心铸魂。</w:t>
      </w:r>
      <w:r>
        <w:rPr>
          <w:rFonts w:hint="eastAsia" w:ascii="仿宋_GB2312" w:hAnsi="仿宋_GB2312" w:eastAsia="仿宋_GB2312" w:cs="仿宋_GB2312"/>
          <w:sz w:val="32"/>
          <w:szCs w:val="32"/>
        </w:rPr>
        <w:t>庆祝党的二十大胜利召开，采用线上展览的方式，举办“以人民为中心——新疆美术馆馆藏作品展”“乡村振兴——艺术在场”，用美术的视角展示大美新疆和可爱的人民，展示新疆乡村文化振兴的丰硕成果。</w:t>
      </w:r>
      <w:r>
        <w:rPr>
          <w:rFonts w:hint="eastAsia" w:ascii="仿宋_GB2312" w:hAnsi="仿宋_GB2312" w:eastAsia="仿宋_GB2312" w:cs="仿宋_GB2312"/>
          <w:b/>
          <w:bCs/>
          <w:sz w:val="32"/>
          <w:szCs w:val="32"/>
        </w:rPr>
        <w:t>三是自主策划展，社会影响力不断扩大。</w:t>
      </w:r>
      <w:r>
        <w:rPr>
          <w:rFonts w:hint="eastAsia" w:ascii="仿宋_GB2312" w:hAnsi="仿宋_GB2312" w:eastAsia="仿宋_GB2312" w:cs="仿宋_GB2312"/>
          <w:sz w:val="32"/>
          <w:szCs w:val="32"/>
        </w:rPr>
        <w:t>自主策划组织多项专题作品展，得到社会各界的喜爱。其中“百年印记——新疆版画、雕塑作品展”入选2022年全国美术馆馆藏精品展出季活动目录，“乡村振兴·艺术在场”入选2022年全国美术馆青年策展人扶持计划，《黄胄美术作品文献展》和《新疆现当代美术史文献陈列展》获得2022年度党委宣传部艺术扶持项目。</w:t>
      </w:r>
      <w:r>
        <w:rPr>
          <w:rFonts w:hint="eastAsia" w:ascii="仿宋_GB2312" w:hAnsi="仿宋_GB2312" w:eastAsia="仿宋_GB2312" w:cs="仿宋_GB2312"/>
          <w:b/>
          <w:bCs/>
          <w:sz w:val="32"/>
          <w:szCs w:val="32"/>
        </w:rPr>
        <w:t>四是运用好平台，加强合作与交流。</w:t>
      </w:r>
      <w:r>
        <w:rPr>
          <w:rFonts w:hint="eastAsia" w:ascii="仿宋_GB2312" w:hAnsi="仿宋_GB2312" w:eastAsia="仿宋_GB2312" w:cs="仿宋_GB2312"/>
          <w:sz w:val="32"/>
          <w:szCs w:val="32"/>
        </w:rPr>
        <w:t>新疆美术馆承担第七届中国——亚欧博览会“中外文化展示周”主展任务，通过“线上+线下”方式推出“走进西部”赖少其艺术馆精品展，凹·凸——“一带一路”国际青年版画交流展。同时，积极与合肥赖少其艺术馆、青岛美术馆洽谈交流，与青岛美术馆签订战略合作框架协议。</w:t>
      </w:r>
      <w:r>
        <w:rPr>
          <w:rFonts w:hint="eastAsia" w:ascii="仿宋_GB2312" w:hAnsi="仿宋_GB2312" w:eastAsia="仿宋_GB2312" w:cs="仿宋_GB2312"/>
          <w:b/>
          <w:bCs/>
          <w:sz w:val="32"/>
          <w:szCs w:val="32"/>
        </w:rPr>
        <w:t>五是开展送展览到基层，文化润疆向基层延伸。</w:t>
      </w:r>
      <w:r>
        <w:rPr>
          <w:rFonts w:hint="eastAsia" w:ascii="仿宋_GB2312" w:hAnsi="仿宋_GB2312" w:eastAsia="仿宋_GB2312" w:cs="仿宋_GB2312"/>
          <w:sz w:val="32"/>
          <w:szCs w:val="32"/>
        </w:rPr>
        <w:t>美术馆先后到昌吉州、巴州等地区举办《百年印记——新疆版画、雕塑作品展》巡展活动，切实将文化润疆、文化惠民落到实处。</w:t>
      </w:r>
      <w:r>
        <w:rPr>
          <w:rFonts w:hint="eastAsia" w:ascii="仿宋_GB2312" w:hAnsi="仿宋_GB2312" w:eastAsia="仿宋_GB2312" w:cs="仿宋_GB2312"/>
          <w:b/>
          <w:bCs/>
          <w:sz w:val="32"/>
          <w:szCs w:val="32"/>
        </w:rPr>
        <w:t>六是做好其他展览，丰富美术服务。</w:t>
      </w:r>
      <w:r>
        <w:rPr>
          <w:rFonts w:hint="eastAsia" w:ascii="仿宋_GB2312" w:hAnsi="仿宋_GB2312" w:eastAsia="仿宋_GB2312" w:cs="仿宋_GB2312"/>
          <w:sz w:val="32"/>
          <w:szCs w:val="32"/>
        </w:rPr>
        <w:t>2022年美术馆新疆美术馆加大协调，拓宽渠道，丰富展览。获得国家艺术基金支持，举办“赋彩润疆”中国艺术新视界—国家艺术基金成果运用青年艺术创作人才、艺术人才培训美术类成果运用作品巡展（新疆站），与浙江美术馆协调，举办“江南春——陆抑非花鸟画创作与教学作品巡展（新疆站）”。对口援疆19省市非物质文化遗产展，期间入馆人数达4万人次，日参观量最高超1万人次，满足了各族群众精神文化需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（二）举办公共教育活动，推广大众美育普及</w:t>
      </w:r>
    </w:p>
    <w:p>
      <w:pPr>
        <w:pStyle w:val="23"/>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举办一系列形式好、内容新、群众爱、参与广的公共教育活动19场。</w:t>
      </w:r>
      <w:r>
        <w:rPr>
          <w:rFonts w:hint="eastAsia" w:ascii="仿宋_GB2312" w:hAnsi="仿宋_GB2312" w:eastAsia="仿宋_GB2312" w:cs="仿宋_GB2312"/>
          <w:b/>
          <w:bCs/>
          <w:color w:val="000000"/>
          <w:sz w:val="32"/>
          <w:szCs w:val="32"/>
        </w:rPr>
        <w:t>一是节日活动形式多样</w:t>
      </w:r>
      <w:r>
        <w:rPr>
          <w:rFonts w:hint="eastAsia" w:ascii="仿宋_GB2312" w:hAnsi="仿宋_GB2312" w:eastAsia="仿宋_GB2312" w:cs="仿宋_GB2312"/>
          <w:color w:val="000000"/>
          <w:sz w:val="32"/>
          <w:szCs w:val="32"/>
        </w:rPr>
        <w:t>。举办“新春纳福——百福千祥送万家”书法名家现场送春联、“清明寄思”版画制作体验、“画出别样红”为女警现场画像等内容丰富、形式多样的活动。</w:t>
      </w:r>
      <w:r>
        <w:rPr>
          <w:rFonts w:hint="eastAsia" w:ascii="仿宋_GB2312" w:hAnsi="仿宋_GB2312" w:eastAsia="仿宋_GB2312" w:cs="仿宋_GB2312"/>
          <w:b/>
          <w:bCs/>
          <w:color w:val="000000"/>
          <w:sz w:val="32"/>
          <w:szCs w:val="32"/>
        </w:rPr>
        <w:t>二是品牌活动初见成效。</w:t>
      </w:r>
      <w:r>
        <w:rPr>
          <w:rFonts w:hint="eastAsia" w:ascii="仿宋_GB2312" w:hAnsi="仿宋_GB2312" w:eastAsia="仿宋_GB2312" w:cs="仿宋_GB2312"/>
          <w:color w:val="auto"/>
          <w:sz w:val="32"/>
          <w:szCs w:val="32"/>
        </w:rPr>
        <w:t>以二十四节气为主线，打造“艺时一节”品牌活动，先后举办主题活动6场，通过让传统文化“活”起来的形式，弘扬中华优秀传统文化，讲好中国故事。</w:t>
      </w:r>
      <w:r>
        <w:rPr>
          <w:rFonts w:hint="eastAsia" w:ascii="仿宋_GB2312" w:hAnsi="仿宋_GB2312" w:eastAsia="仿宋_GB2312" w:cs="仿宋_GB2312"/>
          <w:color w:val="auto"/>
          <w:sz w:val="32"/>
          <w:szCs w:val="32"/>
          <w:lang w:val="en-US" w:eastAsia="zh-CN"/>
        </w:rPr>
        <w:t>配合“情系新疆——全山石、杨鸣山油画精品展”开幕式及黄胄画作《庆丰收》入藏仪式，开展现场音乐汇活动，打造沉浸式美学盛宴，以“以动释静”的形式丰富美术展览、美术作品的表达。紧扣“童话新年”展览主题，组织“万象盒子”活动，使观众零距离感受到卡通艺术的魅力。</w:t>
      </w:r>
      <w:r>
        <w:rPr>
          <w:rFonts w:hint="eastAsia" w:ascii="仿宋_GB2312" w:hAnsi="仿宋_GB2312" w:eastAsia="仿宋_GB2312" w:cs="仿宋_GB2312"/>
          <w:b/>
          <w:bCs/>
          <w:color w:val="000000"/>
          <w:sz w:val="32"/>
          <w:szCs w:val="32"/>
        </w:rPr>
        <w:t>三是线上活动新颖活跃。</w:t>
      </w:r>
      <w:r>
        <w:rPr>
          <w:rFonts w:hint="eastAsia" w:ascii="仿宋_GB2312" w:hAnsi="仿宋_GB2312" w:eastAsia="仿宋_GB2312" w:cs="仿宋_GB2312"/>
          <w:color w:val="000000"/>
          <w:sz w:val="32"/>
          <w:szCs w:val="32"/>
        </w:rPr>
        <w:t>运用微信公众号积极开展“新疆美术馆开馆一周年‘我和新疆美术馆同日生’线上招募活动”和“视频、美术摄影作品征集活动”“线上玩转名画Cosplay”“岁月有痕，父爱无痕——经典名画中的‘爸’气超人赏析”等线上公教活动，短短几日征集作品上百幅。</w:t>
      </w:r>
      <w:r>
        <w:rPr>
          <w:rFonts w:hint="eastAsia" w:ascii="仿宋_GB2312" w:hAnsi="仿宋_GB2312" w:eastAsia="仿宋_GB2312" w:cs="仿宋_GB2312"/>
          <w:b/>
          <w:bCs/>
          <w:color w:val="000000"/>
          <w:sz w:val="32"/>
          <w:szCs w:val="32"/>
        </w:rPr>
        <w:t>四是导览服务持续提升</w:t>
      </w:r>
      <w:r>
        <w:rPr>
          <w:rFonts w:hint="eastAsia" w:ascii="仿宋_GB2312" w:hAnsi="仿宋_GB2312" w:eastAsia="仿宋_GB2312" w:cs="仿宋_GB2312"/>
          <w:color w:val="000000"/>
          <w:sz w:val="32"/>
          <w:szCs w:val="32"/>
        </w:rPr>
        <w:t>。自开馆以来，为重要领导及嘉宾、各行政企事业单位来馆参观提供导览服务，2022年，接待自治区党代表660余人参观美术馆，组织有力，协调得当，得到党委组织部领导的肯定。</w:t>
      </w:r>
      <w:r>
        <w:rPr>
          <w:rFonts w:hint="eastAsia" w:ascii="仿宋_GB2312" w:hAnsi="仿宋_GB2312" w:eastAsia="仿宋_GB2312" w:cs="仿宋_GB2312"/>
          <w:b/>
          <w:bCs/>
          <w:color w:val="000000"/>
          <w:sz w:val="32"/>
          <w:szCs w:val="32"/>
        </w:rPr>
        <w:t>五是宣传推广再辟新径。</w:t>
      </w:r>
      <w:r>
        <w:rPr>
          <w:rFonts w:hint="eastAsia" w:ascii="仿宋_GB2312" w:hAnsi="仿宋_GB2312" w:eastAsia="仿宋_GB2312" w:cs="仿宋_GB2312"/>
          <w:sz w:val="32"/>
          <w:szCs w:val="32"/>
        </w:rPr>
        <w:t>9月30日注册抖音账号，发送展览布展、线上展览、展览背后的故事等相关视频9个，短短一个月时间，浏览量达39438人次，宣传力度增强，观众覆盖面扩大。</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2"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1</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w:t>
      </w:r>
      <w:r>
        <w:rPr>
          <w:rFonts w:ascii="Times New Roman" w:hAnsi="Times New Roman" w:eastAsia="仿宋_GB2312"/>
          <w:b w:val="0"/>
          <w:bCs w:val="0"/>
        </w:rPr>
        <w:t>效评价的目的</w:t>
      </w:r>
    </w:p>
    <w:p>
      <w:pPr>
        <w:spacing w:line="560" w:lineRule="exact"/>
        <w:ind w:firstLine="640" w:firstLineChars="200"/>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numId w:val="0"/>
        </w:numPr>
        <w:spacing w:line="560" w:lineRule="exact"/>
        <w:ind w:firstLine="640" w:firstLineChars="200"/>
        <w:rPr>
          <w:rFonts w:eastAsia="仿宋_GB2312"/>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eastAsia="仿宋_GB2312"/>
          <w:sz w:val="32"/>
          <w:szCs w:val="32"/>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eastAsia="仿宋_GB2312"/>
          <w:sz w:val="32"/>
          <w:szCs w:val="32"/>
        </w:rPr>
        <w:t>项目绩效管理财政支出运行提供及时、有效的信息。</w:t>
      </w:r>
    </w:p>
    <w:p>
      <w:pPr>
        <w:pStyle w:val="18"/>
        <w:spacing w:line="560" w:lineRule="exact"/>
        <w:ind w:firstLine="640" w:firstLineChars="200"/>
        <w:rPr>
          <w:rFonts w:eastAsia="方正仿宋_GBK" w:cs="方正仿宋_GBK"/>
          <w:sz w:val="32"/>
          <w:szCs w:val="32"/>
        </w:rPr>
      </w:pPr>
      <w:r>
        <w:rPr>
          <w:rFonts w:eastAsia="仿宋_GB2312"/>
          <w:sz w:val="32"/>
          <w:szCs w:val="32"/>
        </w:rPr>
        <w:t>综合来看，通过开展有效的财政支出绩效评价管理，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2</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w:t>
      </w:r>
      <w:r>
        <w:rPr>
          <w:rFonts w:ascii="Times New Roman" w:hAnsi="Times New Roman" w:eastAsia="仿宋_GB2312"/>
          <w:b w:val="0"/>
          <w:bCs w:val="0"/>
        </w:rPr>
        <w:t>效评价的对象</w:t>
      </w:r>
    </w:p>
    <w:p>
      <w:pPr>
        <w:spacing w:line="70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免费开放运行保障经费</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3</w:t>
      </w:r>
      <w:r>
        <w:rPr>
          <w:rFonts w:hint="eastAsia" w:ascii="方正仿宋_GBK" w:hAnsi="方正仿宋_GBK" w:eastAsia="方正仿宋_GBK" w:cs="方正仿宋_GBK"/>
          <w:b w:val="0"/>
          <w:bCs w:val="0"/>
          <w:lang w:val="en-US" w:eastAsia="zh-CN"/>
        </w:rPr>
        <w:t>.</w:t>
      </w:r>
      <w:r>
        <w:rPr>
          <w:rFonts w:ascii="Times New Roman" w:hAnsi="Times New Roman" w:eastAsia="仿宋_GB2312"/>
          <w:b w:val="0"/>
          <w:bCs w:val="0"/>
        </w:rPr>
        <w:t>绩效评价的范围</w:t>
      </w:r>
    </w:p>
    <w:p>
      <w:pPr>
        <w:spacing w:line="56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color w:val="auto"/>
          <w:kern w:val="0"/>
          <w:sz w:val="32"/>
          <w:szCs w:val="32"/>
          <w:highlight w:val="none"/>
        </w:rPr>
        <w:t>免费开放运行保障经费</w:t>
      </w:r>
      <w:r>
        <w:rPr>
          <w:rFonts w:hint="eastAsia" w:ascii="仿宋_GB2312" w:hAnsi="仿宋_GB2312" w:eastAsia="仿宋_GB2312" w:cs="仿宋_GB2312"/>
          <w:color w:val="auto"/>
          <w:sz w:val="32"/>
          <w:szCs w:val="32"/>
          <w:highlight w:val="none"/>
        </w:rPr>
        <w:t>项目进行评价，评价核心为专项资金的支出完成情况和效果</w:t>
      </w:r>
      <w:r>
        <w:rPr>
          <w:rFonts w:hint="eastAsia" w:ascii="仿宋_GB2312" w:hAnsi="仿宋_GB2312" w:eastAsia="仿宋_GB2312" w:cs="仿宋_GB2312"/>
          <w:color w:val="0000FF"/>
          <w:sz w:val="32"/>
          <w:szCs w:val="32"/>
        </w:rPr>
        <w:t>。</w:t>
      </w:r>
    </w:p>
    <w:p>
      <w:pPr>
        <w:spacing w:line="560" w:lineRule="exact"/>
        <w:ind w:firstLine="642"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1</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w:t>
      </w:r>
      <w:r>
        <w:rPr>
          <w:rFonts w:ascii="Times New Roman" w:hAnsi="Times New Roman" w:eastAsia="仿宋_GB2312"/>
          <w:b w:val="0"/>
          <w:bCs w:val="0"/>
        </w:rPr>
        <w:t>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（1）</w:t>
      </w:r>
      <w:r>
        <w:rPr>
          <w:rFonts w:ascii="Times New Roman" w:hAnsi="Times New Roman" w:eastAsia="仿宋_GB2312"/>
          <w:b w:val="0"/>
          <w:bCs w:val="0"/>
        </w:rPr>
        <w:t>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（2）</w:t>
      </w:r>
      <w:r>
        <w:rPr>
          <w:rFonts w:ascii="Times New Roman" w:hAnsi="Times New Roman" w:eastAsia="仿宋_GB2312"/>
          <w:b w:val="0"/>
          <w:bCs w:val="0"/>
        </w:rPr>
        <w:t>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（3）</w:t>
      </w:r>
      <w:r>
        <w:rPr>
          <w:rFonts w:ascii="Times New Roman" w:hAnsi="Times New Roman" w:eastAsia="仿宋_GB2312"/>
          <w:b w:val="0"/>
          <w:bCs w:val="0"/>
        </w:rPr>
        <w:t>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（4）</w:t>
      </w:r>
      <w:r>
        <w:rPr>
          <w:rFonts w:ascii="Times New Roman" w:hAnsi="Times New Roman" w:eastAsia="仿宋_GB2312"/>
          <w:b w:val="0"/>
          <w:bCs w:val="0"/>
        </w:rPr>
        <w:t>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2</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评</w:t>
      </w:r>
      <w:r>
        <w:rPr>
          <w:rFonts w:ascii="Times New Roman" w:hAnsi="Times New Roman" w:eastAsia="仿宋_GB2312"/>
          <w:b w:val="0"/>
          <w:bCs w:val="0"/>
        </w:rPr>
        <w:t>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（1）</w:t>
      </w:r>
      <w:r>
        <w:rPr>
          <w:rFonts w:eastAsia="仿宋_GB2312"/>
          <w:color w:val="000000"/>
          <w:spacing w:val="17"/>
          <w:sz w:val="32"/>
          <w:szCs w:val="32"/>
        </w:rPr>
        <w:t>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（2）</w:t>
      </w:r>
      <w:r>
        <w:rPr>
          <w:rFonts w:eastAsia="仿宋_GB2312"/>
          <w:color w:val="000000"/>
          <w:spacing w:val="17"/>
          <w:sz w:val="32"/>
          <w:szCs w:val="32"/>
        </w:rPr>
        <w:t>确定权重</w:t>
      </w:r>
    </w:p>
    <w:p>
      <w:pPr>
        <w:spacing w:line="560" w:lineRule="exact"/>
        <w:ind w:firstLine="708" w:firstLineChars="200"/>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确定各个指标相对于项目总体绩效的权重分值。在绩效评价指标体系中，项目决策权重为20分，项目过程权重为20分，项目产出权重为40分，项目效益权重为20分</w:t>
      </w:r>
      <w:r>
        <w:rPr>
          <w:rFonts w:eastAsia="仿宋_GB2312"/>
          <w:color w:val="000000"/>
          <w:spacing w:val="17"/>
          <w:sz w:val="32"/>
          <w:szCs w:val="32"/>
        </w:rPr>
        <w:t>。</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hint="eastAsia" w:ascii="方正仿宋_GBK" w:hAnsi="方正仿宋_GBK" w:eastAsia="方正仿宋_GBK" w:cs="方正仿宋_GBK"/>
          <w:b w:val="0"/>
          <w:bCs w:val="0"/>
          <w:color w:val="000000"/>
          <w:spacing w:val="17"/>
          <w:kern w:val="2"/>
        </w:rPr>
      </w:pPr>
      <w:r>
        <w:rPr>
          <w:rFonts w:hint="eastAsia" w:ascii="方正仿宋_GBK" w:hAnsi="方正仿宋_GBK" w:eastAsia="方正仿宋_GBK" w:cs="方正仿宋_GBK"/>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w:t>
      </w:r>
      <w:r>
        <w:rPr>
          <w:rFonts w:hint="eastAsia" w:ascii="方正仿宋_GBK" w:hAnsi="方正仿宋_GBK" w:eastAsia="方正仿宋_GBK" w:cs="方正仿宋_GBK"/>
          <w:b w:val="0"/>
          <w:bCs w:val="0"/>
          <w:color w:val="000000"/>
          <w:spacing w:val="17"/>
        </w:rPr>
        <w:t>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3</w:t>
      </w:r>
      <w:r>
        <w:rPr>
          <w:rFonts w:hint="eastAsia" w:ascii="方正仿宋_GBK" w:hAnsi="方正仿宋_GBK" w:eastAsia="方正仿宋_GBK" w:cs="方正仿宋_GBK"/>
          <w:b w:val="0"/>
          <w:bCs w:val="0"/>
          <w:lang w:val="en-US" w:eastAsia="zh-CN"/>
        </w:rPr>
        <w:t>.</w:t>
      </w:r>
      <w:r>
        <w:rPr>
          <w:rFonts w:ascii="Times New Roman" w:hAnsi="Times New Roman" w:eastAsia="仿宋_GB2312"/>
          <w:b w:val="0"/>
          <w:bCs w:val="0"/>
        </w:rPr>
        <w:t>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r>
        <w:rPr>
          <w:rFonts w:hint="eastAsia" w:ascii="方正仿宋_GBK" w:hAnsi="方正仿宋_GBK" w:eastAsia="方正仿宋_GBK" w:cs="方正仿宋_GBK"/>
          <w:color w:val="000000"/>
          <w:spacing w:val="17"/>
          <w:sz w:val="32"/>
          <w:szCs w:val="32"/>
        </w:rPr>
        <w:t>（1）比</w:t>
      </w:r>
      <w:r>
        <w:rPr>
          <w:rFonts w:eastAsia="仿宋_GB2312"/>
          <w:color w:val="000000"/>
          <w:spacing w:val="17"/>
          <w:sz w:val="32"/>
          <w:szCs w:val="32"/>
        </w:rPr>
        <w:t>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（2）</w:t>
      </w:r>
      <w:r>
        <w:rPr>
          <w:rFonts w:eastAsia="仿宋_GB2312"/>
          <w:color w:val="000000"/>
          <w:spacing w:val="17"/>
          <w:sz w:val="32"/>
          <w:szCs w:val="32"/>
        </w:rPr>
        <w:t>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hint="eastAsia" w:ascii="方正仿宋_GBK" w:hAnsi="方正仿宋_GBK" w:eastAsia="方正仿宋_GBK" w:cs="方正仿宋_GBK"/>
          <w:b w:val="0"/>
          <w:bCs w:val="0"/>
        </w:rPr>
        <w:t>4</w:t>
      </w:r>
      <w:r>
        <w:rPr>
          <w:rFonts w:hint="eastAsia" w:ascii="方正仿宋_GBK" w:hAnsi="方正仿宋_GBK" w:eastAsia="方正仿宋_GBK" w:cs="方正仿宋_GBK"/>
          <w:b w:val="0"/>
          <w:bCs w:val="0"/>
          <w:lang w:val="en-US" w:eastAsia="zh-CN"/>
        </w:rPr>
        <w:t>.</w:t>
      </w:r>
      <w:r>
        <w:rPr>
          <w:rFonts w:ascii="Times New Roman" w:hAnsi="Times New Roman" w:eastAsia="仿宋_GB2312"/>
          <w:b w:val="0"/>
          <w:bCs w:val="0"/>
        </w:rPr>
        <w:t>评价标准</w:t>
      </w:r>
    </w:p>
    <w:p>
      <w:pPr>
        <w:spacing w:line="560" w:lineRule="exact"/>
        <w:ind w:firstLine="640"/>
        <w:rPr>
          <w:rFonts w:eastAsia="方正仿宋_GBK" w:cs="方正仿宋_GBK"/>
          <w:color w:val="FF0000"/>
          <w:sz w:val="32"/>
          <w:szCs w:val="32"/>
          <w:highlight w:val="none"/>
        </w:rPr>
      </w:pPr>
      <w:r>
        <w:rPr>
          <w:rFonts w:hint="eastAsia" w:eastAsia="方正仿宋_GBK" w:cs="方正仿宋_GBK"/>
          <w:sz w:val="32"/>
          <w:szCs w:val="32"/>
        </w:rPr>
        <w:t>绩效评价标准通常包括计划标准、行业标准、历史标准等，用于对绩效指标完成情况进行比较、分析、评价。</w:t>
      </w:r>
      <w:r>
        <w:rPr>
          <w:rFonts w:hint="eastAsia" w:eastAsia="方正仿宋_GBK" w:cs="方正仿宋_GBK"/>
          <w:sz w:val="32"/>
          <w:szCs w:val="32"/>
          <w:highlight w:val="none"/>
        </w:rPr>
        <w:t>本次</w:t>
      </w:r>
      <w:r>
        <w:rPr>
          <w:rFonts w:hint="eastAsia" w:eastAsia="方正仿宋_GBK" w:cs="方正仿宋_GBK"/>
          <w:color w:val="auto"/>
          <w:sz w:val="32"/>
          <w:szCs w:val="32"/>
          <w:highlight w:val="none"/>
        </w:rPr>
        <w:t>评价主要采用了</w:t>
      </w:r>
      <w:r>
        <w:rPr>
          <w:rFonts w:hint="eastAsia" w:eastAsia="方正仿宋_GBK" w:cs="方正仿宋_GBK"/>
          <w:color w:val="auto"/>
          <w:sz w:val="32"/>
          <w:szCs w:val="32"/>
          <w:highlight w:val="none"/>
          <w:lang w:val="en-US" w:eastAsia="zh-CN"/>
        </w:rPr>
        <w:t>计划标准</w:t>
      </w:r>
      <w:r>
        <w:rPr>
          <w:rFonts w:hint="eastAsia" w:eastAsia="方正仿宋_GBK" w:cs="方正仿宋_GBK"/>
          <w:color w:val="auto"/>
          <w:sz w:val="32"/>
          <w:szCs w:val="32"/>
          <w:highlight w:val="none"/>
        </w:rPr>
        <w:t>标</w:t>
      </w:r>
    </w:p>
    <w:p>
      <w:pPr>
        <w:spacing w:line="560" w:lineRule="exact"/>
        <w:ind w:firstLine="640"/>
        <w:rPr>
          <w:rFonts w:eastAsia="方正仿宋_GBK" w:cs="方正仿宋_GBK"/>
          <w:sz w:val="32"/>
          <w:szCs w:val="32"/>
        </w:rPr>
      </w:pPr>
      <w:bookmarkStart w:id="0" w:name="_Toc17882"/>
      <w:bookmarkStart w:id="1" w:name="_Toc31464"/>
      <w:r>
        <w:rPr>
          <w:rFonts w:hint="eastAsia" w:eastAsia="方正仿宋_GBK" w:cs="方正仿宋_GBK"/>
          <w:b/>
          <w:bCs/>
          <w:sz w:val="32"/>
          <w:szCs w:val="32"/>
        </w:rPr>
        <w:t>计划标准：</w:t>
      </w:r>
      <w:r>
        <w:rPr>
          <w:rFonts w:hint="eastAsia" w:eastAsia="方正仿宋_GBK" w:cs="方正仿宋_GBK"/>
          <w:sz w:val="32"/>
          <w:szCs w:val="32"/>
        </w:rPr>
        <w:t>指以预先制定的目标、计划、预算、定额等作为评价标准。</w:t>
      </w:r>
      <w:bookmarkEnd w:id="0"/>
      <w:bookmarkEnd w:id="1"/>
    </w:p>
    <w:p>
      <w:pPr>
        <w:spacing w:line="560" w:lineRule="exact"/>
        <w:ind w:firstLine="640"/>
        <w:rPr>
          <w:rFonts w:eastAsia="方正仿宋_GBK" w:cs="方正仿宋_GBK"/>
          <w:sz w:val="32"/>
          <w:szCs w:val="32"/>
        </w:rPr>
      </w:pPr>
      <w:bookmarkStart w:id="2" w:name="_Toc2318"/>
      <w:bookmarkStart w:id="3" w:name="_Toc5633"/>
      <w:r>
        <w:rPr>
          <w:rFonts w:hint="eastAsia" w:eastAsia="方正仿宋_GBK" w:cs="方正仿宋_GBK"/>
          <w:b/>
          <w:bCs/>
          <w:sz w:val="32"/>
          <w:szCs w:val="32"/>
        </w:rPr>
        <w:t>行业标准：</w:t>
      </w:r>
      <w:r>
        <w:rPr>
          <w:rFonts w:hint="eastAsia" w:eastAsia="方正仿宋_GBK" w:cs="方正仿宋_GBK"/>
          <w:sz w:val="32"/>
          <w:szCs w:val="32"/>
        </w:rPr>
        <w:t>指参照国家公布的行业指标数据制定的评价标准。</w:t>
      </w:r>
      <w:bookmarkEnd w:id="2"/>
      <w:bookmarkEnd w:id="3"/>
    </w:p>
    <w:p>
      <w:pPr>
        <w:spacing w:line="560" w:lineRule="exact"/>
        <w:ind w:firstLine="640"/>
        <w:rPr>
          <w:rFonts w:eastAsia="方正仿宋_GBK" w:cs="方正仿宋_GBK"/>
          <w:sz w:val="32"/>
          <w:szCs w:val="32"/>
        </w:rPr>
      </w:pPr>
      <w:bookmarkStart w:id="4" w:name="_Toc430"/>
      <w:bookmarkStart w:id="5" w:name="_Toc16028"/>
      <w:r>
        <w:rPr>
          <w:rFonts w:hint="eastAsia" w:eastAsia="方正仿宋_GBK" w:cs="方正仿宋_GBK"/>
          <w:b/>
          <w:bCs/>
          <w:sz w:val="32"/>
          <w:szCs w:val="32"/>
        </w:rPr>
        <w:t>历史标准：</w:t>
      </w:r>
      <w:r>
        <w:rPr>
          <w:rFonts w:hint="eastAsia" w:eastAsia="方正仿宋_GBK" w:cs="方正仿宋_GBK"/>
          <w:sz w:val="32"/>
          <w:szCs w:val="32"/>
        </w:rPr>
        <w:t>指参照历史数据制定的评价标准，为体现绩效改进的原则，在可实现的条件下应当确定相对较高的评价标准。</w:t>
      </w:r>
      <w:bookmarkEnd w:id="4"/>
      <w:bookmarkEnd w:id="5"/>
    </w:p>
    <w:p>
      <w:pPr>
        <w:pStyle w:val="2"/>
        <w:numPr>
          <w:ilvl w:val="0"/>
          <w:numId w:val="1"/>
        </w:numPr>
        <w:spacing w:before="0" w:after="0" w:line="560" w:lineRule="exact"/>
        <w:ind w:firstLine="710"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ascii="方正仿宋_GBK" w:hAnsi="方正仿宋_GBK" w:eastAsia="方正仿宋_GBK" w:cs="方正仿宋_GBK"/>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ascii="方正仿宋_GBK" w:hAnsi="方正仿宋_GBK" w:eastAsia="方正仿宋_GBK" w:cs="方正仿宋_GBK"/>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ascii="方正仿宋_GBK" w:hAnsi="方正仿宋_GBK" w:eastAsia="方正仿宋_GBK" w:cs="方正仿宋_GBK"/>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方正仿宋_GBK" w:hAnsi="方正仿宋_GBK" w:eastAsia="方正仿宋_GBK" w:cs="方正仿宋_GBK"/>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w:t>
      </w:r>
      <w:bookmarkStart w:id="9" w:name="_GoBack"/>
      <w:bookmarkEnd w:id="9"/>
      <w:r>
        <w:rPr>
          <w:rFonts w:hint="eastAsia" w:ascii="Times New Roman" w:hAnsi="Times New Roman" w:eastAsia="仿宋_GB2312"/>
          <w:b w:val="0"/>
          <w:bCs w:val="0"/>
        </w:rPr>
        <w:t>等方式，对本项目进行客观评价，</w:t>
      </w:r>
      <w:r>
        <w:rPr>
          <w:rFonts w:hint="eastAsia" w:ascii="方正仿宋_GBK" w:hAnsi="方正仿宋_GBK" w:eastAsia="方正仿宋_GBK" w:cs="方正仿宋_GBK"/>
          <w:b w:val="0"/>
          <w:bCs w:val="0"/>
        </w:rPr>
        <w:t>最终评分结果：</w:t>
      </w:r>
      <w:r>
        <w:rPr>
          <w:rFonts w:hint="eastAsia" w:ascii="方正仿宋_GBK" w:hAnsi="方正仿宋_GBK" w:eastAsia="方正仿宋_GBK" w:cs="方正仿宋_GBK"/>
          <w:b w:val="0"/>
          <w:bCs w:val="0"/>
          <w:highlight w:val="none"/>
        </w:rPr>
        <w:t>总得分为</w:t>
      </w:r>
      <w:r>
        <w:rPr>
          <w:rFonts w:hint="eastAsia" w:ascii="方正仿宋_GBK" w:hAnsi="方正仿宋_GBK" w:eastAsia="方正仿宋_GBK" w:cs="方正仿宋_GBK"/>
          <w:b w:val="0"/>
          <w:bCs w:val="0"/>
          <w:highlight w:val="none"/>
          <w:lang w:val="en-US" w:eastAsia="zh-CN"/>
        </w:rPr>
        <w:t>100</w:t>
      </w:r>
      <w:r>
        <w:rPr>
          <w:rFonts w:hint="eastAsia" w:ascii="方正仿宋_GBK" w:hAnsi="方正仿宋_GBK" w:eastAsia="方正仿宋_GBK" w:cs="方正仿宋_GBK"/>
          <w:b w:val="0"/>
          <w:bCs w:val="0"/>
          <w:highlight w:val="none"/>
        </w:rPr>
        <w:t>分，属于“优（良/中/差）”。其中，项目决策类指标权重为20分，得分为</w:t>
      </w:r>
      <w:r>
        <w:rPr>
          <w:rFonts w:hint="eastAsia" w:ascii="方正仿宋_GBK" w:hAnsi="方正仿宋_GBK" w:eastAsia="方正仿宋_GBK" w:cs="方正仿宋_GBK"/>
          <w:b w:val="0"/>
          <w:bCs w:val="0"/>
          <w:highlight w:val="none"/>
          <w:lang w:val="en-US" w:eastAsia="zh-CN"/>
        </w:rPr>
        <w:t>20</w:t>
      </w:r>
      <w:r>
        <w:rPr>
          <w:rFonts w:hint="eastAsia" w:ascii="方正仿宋_GBK" w:hAnsi="方正仿宋_GBK" w:eastAsia="方正仿宋_GBK" w:cs="方正仿宋_GBK"/>
          <w:b w:val="0"/>
          <w:bCs w:val="0"/>
          <w:highlight w:val="none"/>
        </w:rPr>
        <w:t xml:space="preserve">分，得分率为 </w:t>
      </w:r>
      <w:r>
        <w:rPr>
          <w:rFonts w:hint="eastAsia" w:ascii="方正仿宋_GBK" w:hAnsi="方正仿宋_GBK" w:eastAsia="方正仿宋_GBK" w:cs="方正仿宋_GBK"/>
          <w:b w:val="0"/>
          <w:bCs w:val="0"/>
          <w:highlight w:val="none"/>
          <w:lang w:val="en-US" w:eastAsia="zh-CN"/>
        </w:rPr>
        <w:t>100</w:t>
      </w:r>
      <w:r>
        <w:rPr>
          <w:rFonts w:hint="eastAsia" w:ascii="方正仿宋_GBK" w:hAnsi="方正仿宋_GBK" w:eastAsia="方正仿宋_GBK" w:cs="方正仿宋_GBK"/>
          <w:b w:val="0"/>
          <w:bCs w:val="0"/>
          <w:highlight w:val="none"/>
        </w:rPr>
        <w:t>%。项目过程类指标权重为20分，得分为</w:t>
      </w:r>
      <w:r>
        <w:rPr>
          <w:rFonts w:hint="eastAsia" w:ascii="方正仿宋_GBK" w:hAnsi="方正仿宋_GBK" w:eastAsia="方正仿宋_GBK" w:cs="方正仿宋_GBK"/>
          <w:b w:val="0"/>
          <w:bCs w:val="0"/>
          <w:highlight w:val="none"/>
          <w:lang w:val="en-US" w:eastAsia="zh-CN"/>
        </w:rPr>
        <w:t>20</w:t>
      </w:r>
      <w:r>
        <w:rPr>
          <w:rFonts w:hint="eastAsia" w:ascii="方正仿宋_GBK" w:hAnsi="方正仿宋_GBK" w:eastAsia="方正仿宋_GBK" w:cs="方正仿宋_GBK"/>
          <w:b w:val="0"/>
          <w:bCs w:val="0"/>
          <w:highlight w:val="none"/>
        </w:rPr>
        <w:t xml:space="preserve">分，得分率为 </w:t>
      </w:r>
      <w:r>
        <w:rPr>
          <w:rFonts w:hint="eastAsia" w:ascii="方正仿宋_GBK" w:hAnsi="方正仿宋_GBK" w:eastAsia="方正仿宋_GBK" w:cs="方正仿宋_GBK"/>
          <w:b w:val="0"/>
          <w:bCs w:val="0"/>
          <w:highlight w:val="none"/>
          <w:lang w:val="en-US" w:eastAsia="zh-CN"/>
        </w:rPr>
        <w:t>100</w:t>
      </w:r>
      <w:r>
        <w:rPr>
          <w:rFonts w:hint="eastAsia" w:ascii="方正仿宋_GBK" w:hAnsi="方正仿宋_GBK" w:eastAsia="方正仿宋_GBK" w:cs="方正仿宋_GBK"/>
          <w:b w:val="0"/>
          <w:bCs w:val="0"/>
          <w:highlight w:val="none"/>
        </w:rPr>
        <w:t>%。项目产出类指标权重为40分，得分为</w:t>
      </w:r>
      <w:r>
        <w:rPr>
          <w:rFonts w:hint="eastAsia" w:ascii="方正仿宋_GBK" w:hAnsi="方正仿宋_GBK" w:eastAsia="方正仿宋_GBK" w:cs="方正仿宋_GBK"/>
          <w:b w:val="0"/>
          <w:bCs w:val="0"/>
          <w:highlight w:val="none"/>
          <w:lang w:val="en-US" w:eastAsia="zh-CN"/>
        </w:rPr>
        <w:t>40</w:t>
      </w:r>
      <w:r>
        <w:rPr>
          <w:rFonts w:hint="eastAsia" w:ascii="方正仿宋_GBK" w:hAnsi="方正仿宋_GBK" w:eastAsia="方正仿宋_GBK" w:cs="方正仿宋_GBK"/>
          <w:b w:val="0"/>
          <w:bCs w:val="0"/>
          <w:highlight w:val="none"/>
        </w:rPr>
        <w:t xml:space="preserve">分，得分率为 </w:t>
      </w:r>
      <w:r>
        <w:rPr>
          <w:rFonts w:hint="eastAsia" w:ascii="方正仿宋_GBK" w:hAnsi="方正仿宋_GBK" w:eastAsia="方正仿宋_GBK" w:cs="方正仿宋_GBK"/>
          <w:b w:val="0"/>
          <w:bCs w:val="0"/>
          <w:highlight w:val="none"/>
          <w:lang w:val="en-US" w:eastAsia="zh-CN"/>
        </w:rPr>
        <w:t>100</w:t>
      </w:r>
      <w:r>
        <w:rPr>
          <w:rFonts w:hint="eastAsia" w:ascii="方正仿宋_GBK" w:hAnsi="方正仿宋_GBK" w:eastAsia="方正仿宋_GBK" w:cs="方正仿宋_GBK"/>
          <w:b w:val="0"/>
          <w:bCs w:val="0"/>
          <w:highlight w:val="none"/>
        </w:rPr>
        <w:t>%。项目效益类指标权重为20分，得分为</w:t>
      </w:r>
      <w:r>
        <w:rPr>
          <w:rFonts w:hint="eastAsia" w:ascii="方正仿宋_GBK" w:hAnsi="方正仿宋_GBK" w:eastAsia="方正仿宋_GBK" w:cs="方正仿宋_GBK"/>
          <w:b w:val="0"/>
          <w:bCs w:val="0"/>
          <w:highlight w:val="none"/>
          <w:lang w:val="en-US" w:eastAsia="zh-CN"/>
        </w:rPr>
        <w:t>20</w:t>
      </w:r>
      <w:r>
        <w:rPr>
          <w:rFonts w:hint="eastAsia" w:ascii="方正仿宋_GBK" w:hAnsi="方正仿宋_GBK" w:eastAsia="方正仿宋_GBK" w:cs="方正仿宋_GBK"/>
          <w:b w:val="0"/>
          <w:bCs w:val="0"/>
          <w:highlight w:val="none"/>
        </w:rPr>
        <w:t>分，得分率为</w:t>
      </w:r>
      <w:r>
        <w:rPr>
          <w:rFonts w:hint="eastAsia" w:ascii="方正仿宋_GBK" w:hAnsi="方正仿宋_GBK" w:eastAsia="方正仿宋_GBK" w:cs="方正仿宋_GBK"/>
          <w:b w:val="0"/>
          <w:bCs w:val="0"/>
          <w:highlight w:val="none"/>
          <w:lang w:val="en-US" w:eastAsia="zh-CN"/>
        </w:rPr>
        <w:t>100</w:t>
      </w:r>
      <w:r>
        <w:rPr>
          <w:rFonts w:hint="eastAsia" w:ascii="方正仿宋_GBK" w:hAnsi="方正仿宋_GBK" w:eastAsia="方正仿宋_GBK" w:cs="方正仿宋_GBK"/>
          <w:b w:val="0"/>
          <w:bCs w:val="0"/>
          <w:highlight w:val="none"/>
        </w:rPr>
        <w:t>%。具体打分情况详见：附件</w:t>
      </w:r>
      <w:r>
        <w:rPr>
          <w:rFonts w:hint="eastAsia" w:ascii="方正仿宋_GBK" w:hAnsi="方正仿宋_GBK" w:eastAsia="方正仿宋_GBK" w:cs="方正仿宋_GBK"/>
          <w:b w:val="0"/>
          <w:bCs w:val="0"/>
        </w:rPr>
        <w:t>1综合评分表</w:t>
      </w:r>
      <w:r>
        <w:rPr>
          <w:rFonts w:hint="eastAsia" w:ascii="方正仿宋_GBK" w:hAnsi="方正仿宋_GBK" w:eastAsia="方正仿宋_GBK" w:cs="方正仿宋_GBK"/>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2"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00" w:firstLineChars="200"/>
        <w:outlineLvl w:val="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项目决策类指标包括项目立项、绩效目标和资金投入三方面的内容，由6个三级指标构成，权重分值为20分</w:t>
      </w:r>
      <w:r>
        <w:rPr>
          <w:rFonts w:hint="eastAsia" w:ascii="仿宋_GB2312" w:hAnsi="仿宋_GB2312" w:eastAsia="仿宋_GB2312" w:cs="仿宋_GB2312"/>
          <w:color w:val="auto"/>
          <w:sz w:val="30"/>
          <w:szCs w:val="30"/>
          <w:highlight w:val="none"/>
          <w:lang w:val="en-US" w:eastAsia="zh-CN"/>
        </w:rPr>
        <w:t>，实际得分20分，得分率为100%。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项目申请、设立过程符合相关要求，</w:t>
      </w:r>
      <w:r>
        <w:rPr>
          <w:rFonts w:hint="eastAsia" w:ascii="仿宋_GB2312" w:hAnsi="仿宋_GB2312" w:eastAsia="仿宋_GB2312" w:cs="仿宋_GB2312"/>
          <w:sz w:val="32"/>
          <w:szCs w:val="32"/>
          <w:lang w:eastAsia="zh-Hans"/>
        </w:rPr>
        <w:t>严格按照审批流程准备符合要求的文件、材料；</w:t>
      </w:r>
      <w:r>
        <w:rPr>
          <w:rFonts w:hint="eastAsia" w:ascii="仿宋_GB2312" w:hAnsi="仿宋_GB2312" w:eastAsia="仿宋_GB2312" w:cs="仿宋_GB2312"/>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3"/>
        </w:numPr>
        <w:spacing w:before="0" w:after="0" w:line="560" w:lineRule="exact"/>
        <w:ind w:firstLine="642"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项目过程类指标包括资金管理和组织实施两方面的内容，由</w:t>
      </w:r>
      <w:r>
        <w:rPr>
          <w:rFonts w:hint="eastAsia" w:ascii="仿宋_GB2312" w:hAnsi="仿宋_GB2312" w:eastAsia="仿宋_GB2312" w:cs="仿宋_GB2312"/>
          <w:sz w:val="32"/>
          <w:szCs w:val="32"/>
          <w:highlight w:val="none"/>
          <w:lang w:val="en-US" w:eastAsia="zh-CN"/>
        </w:rPr>
        <w:t>5个</w:t>
      </w:r>
      <w:r>
        <w:rPr>
          <w:rFonts w:hint="eastAsia" w:ascii="仿宋_GB2312" w:hAnsi="仿宋_GB2312" w:eastAsia="仿宋_GB2312" w:cs="仿宋_GB2312"/>
          <w:sz w:val="32"/>
          <w:szCs w:val="32"/>
          <w:lang w:val="en-US" w:eastAsia="zh-CN"/>
        </w:rPr>
        <w:t>三级指标构成，权重分值为20分，</w:t>
      </w:r>
      <w:r>
        <w:rPr>
          <w:rFonts w:hint="eastAsia" w:ascii="仿宋_GB2312" w:hAnsi="仿宋_GB2312" w:eastAsia="仿宋_GB2312" w:cs="仿宋_GB2312"/>
          <w:sz w:val="32"/>
          <w:szCs w:val="32"/>
          <w:highlight w:val="none"/>
          <w:lang w:val="en-US" w:eastAsia="zh-CN"/>
        </w:rPr>
        <w:t>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本项目总投资350万元，财政资金及时足额到位，到位率100%，预算资金按计划进度执行。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预算编制较为详细，项目资金支出总体能够按照预算执行，预算资金支出350万元，预算执行率为100%。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3"/>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项目产出类指标包括产出数量、产出质量、产出时效、产</w:t>
      </w:r>
      <w:r>
        <w:rPr>
          <w:rFonts w:hint="eastAsia" w:ascii="仿宋_GB2312" w:hAnsi="仿宋_GB2312" w:eastAsia="仿宋_GB2312" w:cs="仿宋_GB2312"/>
          <w:sz w:val="32"/>
          <w:szCs w:val="32"/>
          <w:highlight w:val="none"/>
          <w:lang w:val="en-US" w:eastAsia="zh-CN"/>
        </w:rPr>
        <w:t>出成本四方面的内容，由8个三级指标构成，权重分为40分，实际得分40分，得分率为100%。具体产出指标完成情况如下：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指标1：公教活动场次，指标值：</w:t>
      </w:r>
      <w:r>
        <w:rPr>
          <w:rFonts w:hint="eastAsia" w:ascii="仿宋_GB2312" w:hAnsi="仿宋_GB2312" w:eastAsia="仿宋_GB2312" w:cs="仿宋_GB2312"/>
          <w:sz w:val="32"/>
          <w:szCs w:val="32"/>
          <w:highlight w:val="none"/>
          <w:lang w:val="en-US" w:eastAsia="zh-CN"/>
        </w:rPr>
        <w:t>10场次</w:t>
      </w:r>
      <w:r>
        <w:rPr>
          <w:rFonts w:hint="eastAsia" w:ascii="仿宋_GB2312" w:hAnsi="仿宋_GB2312" w:eastAsia="仿宋_GB2312" w:cs="仿宋_GB2312"/>
          <w:sz w:val="32"/>
          <w:szCs w:val="32"/>
          <w:highlight w:val="none"/>
        </w:rPr>
        <w:t>，实际完成值： 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场次，指标完成率</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偏差原因：线下活动11场，线上活动2场,提高年度指标值。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指标2：举办展览场次，指标值：</w:t>
      </w:r>
      <w:r>
        <w:rPr>
          <w:rFonts w:hint="eastAsia" w:ascii="仿宋_GB2312" w:hAnsi="仿宋_GB2312" w:eastAsia="仿宋_GB2312" w:cs="仿宋_GB2312"/>
          <w:sz w:val="32"/>
          <w:szCs w:val="32"/>
          <w:highlight w:val="none"/>
          <w:lang w:val="en-US" w:eastAsia="zh-CN"/>
        </w:rPr>
        <w:t>6场次</w:t>
      </w:r>
      <w:r>
        <w:rPr>
          <w:rFonts w:hint="eastAsia" w:ascii="仿宋_GB2312" w:hAnsi="仿宋_GB2312" w:eastAsia="仿宋_GB2312" w:cs="仿宋_GB2312"/>
          <w:sz w:val="32"/>
          <w:szCs w:val="32"/>
          <w:highlight w:val="none"/>
        </w:rPr>
        <w:t xml:space="preserve">，实际完成值： </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场次，指标完成率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：参观人次，指标值：</w:t>
      </w:r>
      <w:r>
        <w:rPr>
          <w:rFonts w:hint="eastAsia" w:ascii="仿宋_GB2312" w:hAnsi="仿宋_GB2312" w:eastAsia="仿宋_GB2312" w:cs="仿宋_GB2312"/>
          <w:sz w:val="32"/>
          <w:szCs w:val="32"/>
          <w:highlight w:val="none"/>
          <w:lang w:val="en-US" w:eastAsia="zh-CN"/>
        </w:rPr>
        <w:t>15万人次</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17万人次</w:t>
      </w:r>
      <w:r>
        <w:rPr>
          <w:rFonts w:hint="eastAsia" w:ascii="仿宋_GB2312" w:hAnsi="仿宋_GB2312" w:eastAsia="仿宋_GB2312" w:cs="仿宋_GB2312"/>
          <w:sz w:val="32"/>
          <w:szCs w:val="32"/>
          <w:highlight w:val="none"/>
        </w:rPr>
        <w:t>场次，指标完成率</w:t>
      </w:r>
      <w:r>
        <w:rPr>
          <w:rFonts w:hint="eastAsia" w:ascii="仿宋_GB2312" w:hAnsi="仿宋_GB2312" w:eastAsia="仿宋_GB2312" w:cs="仿宋_GB2312"/>
          <w:sz w:val="32"/>
          <w:szCs w:val="32"/>
          <w:highlight w:val="none"/>
          <w:lang w:val="en-US" w:eastAsia="zh-CN"/>
        </w:rPr>
        <w:t>113.3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：公众号信息发布，指标值：</w:t>
      </w:r>
      <w:r>
        <w:rPr>
          <w:rFonts w:hint="eastAsia" w:ascii="仿宋_GB2312" w:hAnsi="仿宋_GB2312" w:eastAsia="仿宋_GB2312" w:cs="仿宋_GB2312"/>
          <w:sz w:val="32"/>
          <w:szCs w:val="32"/>
          <w:highlight w:val="none"/>
          <w:lang w:val="en-US" w:eastAsia="zh-CN"/>
        </w:rPr>
        <w:t>30篇</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64篇</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213.3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，偏差原因：线上看展17期，公共教育活动回顾47篇。</w:t>
      </w:r>
    </w:p>
    <w:p>
      <w:pPr>
        <w:shd w:val="clear"/>
        <w:spacing w:line="600" w:lineRule="exact"/>
        <w:ind w:firstLine="640" w:firstLineChars="200"/>
        <w:outlineLvl w:val="0"/>
        <w:rPr>
          <w:rFonts w:hint="default"/>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：提供公共文化服务，指标值：</w:t>
      </w:r>
      <w:r>
        <w:rPr>
          <w:rFonts w:hint="eastAsia" w:ascii="仿宋_GB2312" w:hAnsi="仿宋_GB2312" w:eastAsia="仿宋_GB2312" w:cs="仿宋_GB2312"/>
          <w:sz w:val="32"/>
          <w:szCs w:val="32"/>
          <w:highlight w:val="none"/>
          <w:lang w:val="en-US" w:eastAsia="zh-CN"/>
        </w:rPr>
        <w:t>200天</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209天</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104.5</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指标1：项目按期完成率，指标值：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指标1：免费开放运行相关费用，指标值： </w:t>
      </w:r>
      <w:r>
        <w:rPr>
          <w:rFonts w:hint="eastAsia" w:ascii="仿宋_GB2312" w:hAnsi="仿宋_GB2312" w:eastAsia="仿宋_GB2312" w:cs="仿宋_GB2312"/>
          <w:sz w:val="32"/>
          <w:szCs w:val="32"/>
          <w:highlight w:val="none"/>
          <w:lang w:val="en-US" w:eastAsia="zh-CN"/>
        </w:rPr>
        <w:t>99.6万元</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99.6万元</w:t>
      </w:r>
      <w:r>
        <w:rPr>
          <w:rFonts w:hint="eastAsia" w:ascii="仿宋_GB2312" w:hAnsi="仿宋_GB2312" w:eastAsia="仿宋_GB2312" w:cs="仿宋_GB2312"/>
          <w:sz w:val="32"/>
          <w:szCs w:val="32"/>
          <w:highlight w:val="none"/>
        </w:rPr>
        <w:t xml:space="preserve">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：展览策划筹备布展开展艺术教育费用，指标值： </w:t>
      </w:r>
      <w:r>
        <w:rPr>
          <w:rFonts w:hint="eastAsia" w:ascii="仿宋_GB2312" w:hAnsi="仿宋_GB2312" w:eastAsia="仿宋_GB2312" w:cs="仿宋_GB2312"/>
          <w:sz w:val="32"/>
          <w:szCs w:val="32"/>
          <w:highlight w:val="none"/>
          <w:lang w:val="en-US" w:eastAsia="zh-CN"/>
        </w:rPr>
        <w:t>250.4万元</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250.4万元</w:t>
      </w:r>
      <w:r>
        <w:rPr>
          <w:rFonts w:hint="eastAsia" w:ascii="仿宋_GB2312" w:hAnsi="仿宋_GB2312" w:eastAsia="仿宋_GB2312" w:cs="仿宋_GB2312"/>
          <w:sz w:val="32"/>
          <w:szCs w:val="32"/>
          <w:highlight w:val="none"/>
        </w:rPr>
        <w:t xml:space="preserve">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pStyle w:val="2"/>
        <w:rPr>
          <w:rFonts w:hint="default"/>
          <w:lang w:val="en-US" w:eastAsia="zh-CN"/>
        </w:rPr>
      </w:pPr>
    </w:p>
    <w:p>
      <w:pPr>
        <w:pStyle w:val="11"/>
        <w:numPr>
          <w:ilvl w:val="0"/>
          <w:numId w:val="3"/>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项目效益类指标包括项目实施效益和满意度两方面的内容，由2个三级指标构成，权重分为20分，实际得分20分，得分率为100%。具体效益指标及满</w:t>
      </w:r>
      <w:r>
        <w:rPr>
          <w:rFonts w:hint="eastAsia" w:ascii="仿宋_GB2312" w:hAnsi="仿宋_GB2312" w:eastAsia="仿宋_GB2312" w:cs="仿宋_GB2312"/>
          <w:sz w:val="32"/>
          <w:szCs w:val="32"/>
          <w:lang w:val="en-US" w:eastAsia="zh-CN"/>
        </w:rPr>
        <w:t>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社会效益指标</w:t>
      </w:r>
      <w:r>
        <w:rPr>
          <w:rFonts w:hint="eastAsia" w:ascii="仿宋_GB2312" w:hAnsi="仿宋_GB2312" w:eastAsia="仿宋_GB2312" w:cs="仿宋_GB2312"/>
          <w:sz w:val="32"/>
          <w:szCs w:val="32"/>
          <w:highlight w:val="none"/>
          <w:lang w:val="en-US"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指标1：保障社会审美需求，指标值：有效保障 ，实际完成值：</w:t>
      </w:r>
      <w:r>
        <w:rPr>
          <w:rFonts w:hint="eastAsia" w:ascii="仿宋_GB2312" w:hAnsi="仿宋_GB2312" w:eastAsia="仿宋_GB2312" w:cs="仿宋_GB2312"/>
          <w:sz w:val="32"/>
          <w:szCs w:val="32"/>
          <w:highlight w:val="none"/>
          <w:lang w:val="en-US" w:eastAsia="zh-CN"/>
        </w:rPr>
        <w:t>有效保障</w:t>
      </w:r>
      <w:r>
        <w:rPr>
          <w:rFonts w:hint="eastAsia" w:ascii="仿宋_GB2312" w:hAnsi="仿宋_GB2312" w:eastAsia="仿宋_GB2312" w:cs="仿宋_GB2312"/>
          <w:sz w:val="32"/>
          <w:szCs w:val="32"/>
          <w:highlight w:val="none"/>
        </w:rPr>
        <w:t xml:space="preserve">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w:t>
      </w:r>
    </w:p>
    <w:p>
      <w:pPr>
        <w:shd w:val="clear"/>
        <w:spacing w:line="600" w:lineRule="exact"/>
        <w:ind w:firstLine="640" w:firstLineChars="200"/>
        <w:outlineLvl w:val="0"/>
        <w:rPr>
          <w:rFonts w:hint="default"/>
          <w:lang w:val="en-US" w:eastAsia="zh-CN"/>
        </w:rPr>
      </w:pPr>
      <w:r>
        <w:rPr>
          <w:rFonts w:hint="eastAsia" w:ascii="仿宋_GB2312" w:hAnsi="仿宋_GB2312" w:eastAsia="仿宋_GB2312" w:cs="仿宋_GB2312"/>
          <w:sz w:val="32"/>
          <w:szCs w:val="32"/>
          <w:highlight w:val="none"/>
        </w:rPr>
        <w:t>指标1：参加活动人员满意度，指标值：</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90.99%</w:t>
      </w:r>
      <w:r>
        <w:rPr>
          <w:rFonts w:hint="eastAsia" w:ascii="仿宋_GB2312" w:hAnsi="仿宋_GB2312" w:eastAsia="仿宋_GB2312" w:cs="仿宋_GB2312"/>
          <w:sz w:val="32"/>
          <w:szCs w:val="32"/>
          <w:highlight w:val="none"/>
        </w:rPr>
        <w:t xml:space="preserve"> ，指标完成率  </w:t>
      </w:r>
      <w:r>
        <w:rPr>
          <w:rFonts w:hint="eastAsia" w:ascii="仿宋_GB2312" w:hAnsi="仿宋_GB2312" w:eastAsia="仿宋_GB2312" w:cs="仿宋_GB2312"/>
          <w:sz w:val="32"/>
          <w:szCs w:val="32"/>
          <w:highlight w:val="none"/>
          <w:lang w:val="en-US" w:eastAsia="zh-CN"/>
        </w:rPr>
        <w:t>101.1</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spacing w:line="700" w:lineRule="exact"/>
        <w:jc w:val="left"/>
        <w:rPr>
          <w:rFonts w:eastAsia="方正仿宋_GBK" w:cs="方正仿宋_GBK"/>
          <w:sz w:val="32"/>
          <w:szCs w:val="32"/>
          <w:highlight w:val="none"/>
        </w:rPr>
      </w:pPr>
      <w:r>
        <w:rPr>
          <w:rFonts w:hint="eastAsia" w:ascii="仿宋_GB2312" w:hAnsi="仿宋_GB2312" w:eastAsia="仿宋_GB2312" w:cs="仿宋_GB2312"/>
          <w:kern w:val="0"/>
          <w:sz w:val="32"/>
          <w:szCs w:val="32"/>
        </w:rPr>
        <w:t>免费开放运行保障经</w:t>
      </w:r>
      <w:r>
        <w:rPr>
          <w:rFonts w:hint="eastAsia" w:ascii="仿宋_GB2312" w:hAnsi="仿宋_GB2312" w:eastAsia="仿宋_GB2312" w:cs="仿宋_GB2312"/>
          <w:kern w:val="0"/>
          <w:sz w:val="32"/>
          <w:szCs w:val="32"/>
          <w:highlight w:val="none"/>
        </w:rPr>
        <w:t>费</w:t>
      </w:r>
      <w:r>
        <w:rPr>
          <w:rFonts w:hint="eastAsia" w:eastAsia="方正仿宋_GBK" w:cs="方正仿宋_GBK"/>
          <w:sz w:val="32"/>
          <w:szCs w:val="32"/>
          <w:highlight w:val="none"/>
        </w:rPr>
        <w:t>项目年初预算</w:t>
      </w:r>
      <w:r>
        <w:rPr>
          <w:rFonts w:hint="eastAsia" w:eastAsia="方正仿宋_GBK" w:cs="方正仿宋_GBK"/>
          <w:sz w:val="32"/>
          <w:szCs w:val="32"/>
          <w:highlight w:val="none"/>
          <w:lang w:val="en-US" w:eastAsia="zh-CN"/>
        </w:rPr>
        <w:t>350</w:t>
      </w:r>
      <w:r>
        <w:rPr>
          <w:rFonts w:hint="eastAsia" w:eastAsia="方正仿宋_GBK" w:cs="方正仿宋_GBK"/>
          <w:sz w:val="32"/>
          <w:szCs w:val="32"/>
          <w:highlight w:val="none"/>
        </w:rPr>
        <w:t>万元，全年预算</w:t>
      </w:r>
      <w:r>
        <w:rPr>
          <w:rFonts w:hint="eastAsia" w:eastAsia="方正仿宋_GBK" w:cs="方正仿宋_GBK"/>
          <w:sz w:val="32"/>
          <w:szCs w:val="32"/>
          <w:highlight w:val="none"/>
          <w:lang w:val="en-US" w:eastAsia="zh-CN"/>
        </w:rPr>
        <w:t>350</w:t>
      </w:r>
      <w:r>
        <w:rPr>
          <w:rFonts w:hint="eastAsia" w:eastAsia="方正仿宋_GBK" w:cs="方正仿宋_GBK"/>
          <w:sz w:val="32"/>
          <w:szCs w:val="32"/>
          <w:highlight w:val="none"/>
        </w:rPr>
        <w:t>万元，实际支出</w:t>
      </w:r>
      <w:r>
        <w:rPr>
          <w:rFonts w:hint="eastAsia" w:eastAsia="方正仿宋_GBK" w:cs="方正仿宋_GBK"/>
          <w:sz w:val="32"/>
          <w:szCs w:val="32"/>
          <w:highlight w:val="none"/>
          <w:lang w:val="en-US" w:eastAsia="zh-CN"/>
        </w:rPr>
        <w:t>350</w:t>
      </w:r>
      <w:r>
        <w:rPr>
          <w:rFonts w:hint="eastAsia" w:eastAsia="方正仿宋_GBK" w:cs="方正仿宋_GBK"/>
          <w:sz w:val="32"/>
          <w:szCs w:val="32"/>
          <w:highlight w:val="none"/>
        </w:rPr>
        <w:t>万元，预算执行率为</w:t>
      </w:r>
      <w:r>
        <w:rPr>
          <w:rFonts w:hint="eastAsia" w:eastAsia="方正仿宋_GBK" w:cs="方正仿宋_GBK"/>
          <w:sz w:val="32"/>
          <w:szCs w:val="32"/>
          <w:highlight w:val="none"/>
          <w:lang w:val="en-US" w:eastAsia="zh-CN"/>
        </w:rPr>
        <w:t>100</w:t>
      </w:r>
      <w:r>
        <w:rPr>
          <w:rFonts w:hint="eastAsia" w:eastAsia="方正仿宋_GBK" w:cs="方正仿宋_GBK"/>
          <w:sz w:val="32"/>
          <w:szCs w:val="32"/>
          <w:highlight w:val="none"/>
        </w:rPr>
        <w:t>%，项目绩效指标总体完成率为</w:t>
      </w:r>
      <w:r>
        <w:rPr>
          <w:rFonts w:hint="eastAsia" w:eastAsia="方正仿宋_GBK" w:cs="方正仿宋_GBK"/>
          <w:sz w:val="32"/>
          <w:szCs w:val="32"/>
          <w:highlight w:val="none"/>
          <w:lang w:val="en-US" w:eastAsia="zh-CN"/>
        </w:rPr>
        <w:t>116.19</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总体</w:t>
      </w:r>
      <w:r>
        <w:rPr>
          <w:rFonts w:hint="eastAsia" w:eastAsia="方正仿宋_GBK" w:cs="方正仿宋_GBK"/>
          <w:sz w:val="32"/>
          <w:szCs w:val="32"/>
          <w:highlight w:val="none"/>
        </w:rPr>
        <w:t>偏差率为</w:t>
      </w:r>
      <w:r>
        <w:rPr>
          <w:rFonts w:hint="eastAsia" w:eastAsia="方正仿宋_GBK" w:cs="方正仿宋_GBK"/>
          <w:sz w:val="32"/>
          <w:szCs w:val="32"/>
          <w:highlight w:val="none"/>
          <w:lang w:val="en-US" w:eastAsia="zh-CN"/>
        </w:rPr>
        <w:t>16.19</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偏差</w:t>
      </w:r>
      <w:r>
        <w:rPr>
          <w:rFonts w:hint="eastAsia" w:eastAsia="方正仿宋_GBK" w:cs="方正仿宋_GBK"/>
          <w:sz w:val="32"/>
          <w:szCs w:val="32"/>
          <w:highlight w:val="none"/>
        </w:rPr>
        <w:t>原因</w:t>
      </w:r>
      <w:r>
        <w:rPr>
          <w:rFonts w:hint="eastAsia" w:eastAsia="方正仿宋_GBK" w:cs="方正仿宋_GBK"/>
          <w:sz w:val="32"/>
          <w:szCs w:val="32"/>
          <w:highlight w:val="none"/>
          <w:lang w:val="en-US" w:eastAsia="zh-CN"/>
        </w:rPr>
        <w:t>公教活动场次及公众号信息发布年度指标值设定偏低</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改进</w:t>
      </w:r>
      <w:r>
        <w:rPr>
          <w:rFonts w:hint="eastAsia" w:eastAsia="方正仿宋_GBK" w:cs="方正仿宋_GBK"/>
          <w:sz w:val="32"/>
          <w:szCs w:val="32"/>
          <w:highlight w:val="none"/>
        </w:rPr>
        <w:t>措施</w:t>
      </w:r>
      <w:r>
        <w:rPr>
          <w:rFonts w:hint="eastAsia" w:eastAsia="方正仿宋_GBK" w:cs="方正仿宋_GBK"/>
          <w:sz w:val="32"/>
          <w:szCs w:val="32"/>
          <w:highlight w:val="none"/>
          <w:lang w:eastAsia="zh-CN"/>
        </w:rPr>
        <w:t>根据实际情况更加科学合理的设置指标</w:t>
      </w:r>
      <w:r>
        <w:rPr>
          <w:rFonts w:hint="eastAsia" w:eastAsia="方正仿宋_GBK" w:cs="方正仿宋_GBK"/>
          <w:sz w:val="32"/>
          <w:szCs w:val="32"/>
          <w:highlight w:val="none"/>
        </w:rPr>
        <w:t>。</w:t>
      </w:r>
    </w:p>
    <w:p>
      <w:pPr>
        <w:spacing w:line="560" w:lineRule="exact"/>
        <w:ind w:firstLine="640" w:firstLineChars="200"/>
        <w:rPr>
          <w:rStyle w:val="17"/>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6" w:firstLineChars="200"/>
        <w:rPr>
          <w:rFonts w:eastAsia="楷体"/>
          <w:b/>
          <w:spacing w:val="-4"/>
          <w:sz w:val="32"/>
          <w:szCs w:val="32"/>
          <w:highlight w:val="none"/>
        </w:rPr>
      </w:pPr>
      <w:r>
        <w:rPr>
          <w:rFonts w:eastAsia="楷体"/>
          <w:b/>
          <w:spacing w:val="-4"/>
          <w:sz w:val="32"/>
          <w:szCs w:val="32"/>
          <w:highlight w:val="none"/>
        </w:rPr>
        <w:t>（一）主要经验及做法</w:t>
      </w:r>
    </w:p>
    <w:p>
      <w:pPr>
        <w:spacing w:line="560" w:lineRule="exact"/>
        <w:ind w:firstLine="640" w:firstLineChars="200"/>
        <w:rPr>
          <w:rFonts w:eastAsia="仿宋_GB2312"/>
          <w:sz w:val="32"/>
          <w:szCs w:val="32"/>
        </w:rPr>
      </w:pPr>
      <w:r>
        <w:rPr>
          <w:rFonts w:eastAsia="仿宋_GB2312"/>
          <w:sz w:val="32"/>
          <w:szCs w:val="32"/>
          <w:highlight w:val="none"/>
        </w:rPr>
        <w:t>为确保项目顺利进行，提前做好项目规划，将</w:t>
      </w:r>
      <w:r>
        <w:rPr>
          <w:rFonts w:eastAsia="仿宋_GB2312"/>
          <w:sz w:val="32"/>
          <w:szCs w:val="32"/>
        </w:rPr>
        <w:t>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4"/>
        </w:numPr>
        <w:spacing w:line="560" w:lineRule="exact"/>
        <w:ind w:firstLine="642" w:firstLineChars="200"/>
        <w:rPr>
          <w:rFonts w:eastAsia="楷体_GB2312"/>
          <w:b/>
          <w:bCs/>
          <w:color w:val="7030A0"/>
          <w:sz w:val="32"/>
          <w:szCs w:val="32"/>
        </w:rPr>
      </w:pPr>
      <w:r>
        <w:rPr>
          <w:rFonts w:eastAsia="楷体_GB2312"/>
          <w:b/>
          <w:bCs/>
          <w:sz w:val="32"/>
          <w:szCs w:val="32"/>
        </w:rPr>
        <w:t>存在的问题及原因分析</w:t>
      </w:r>
    </w:p>
    <w:p>
      <w:pPr>
        <w:spacing w:line="540" w:lineRule="exact"/>
        <w:ind w:firstLine="640" w:firstLineChars="200"/>
      </w:pPr>
      <w:r>
        <w:rPr>
          <w:rFonts w:hint="eastAsia" w:ascii="仿宋_GB2312" w:hAnsi="仿宋_GB2312" w:eastAsia="仿宋_GB2312" w:cs="仿宋_GB2312"/>
          <w:sz w:val="32"/>
          <w:szCs w:val="32"/>
        </w:rPr>
        <w:t>1、存在的问题</w:t>
      </w:r>
    </w:p>
    <w:p>
      <w:pPr>
        <w:shd w:val="clear"/>
        <w:spacing w:line="60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a.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rPr>
        <w:t>观众对美术馆展览内容要求很高，希望能够保持展览质量，邀请知名艺术家、策展人为新疆带来高质量视觉盛宴，同时，观众对加入美术馆艺术教育活动，艺术创作和展览的愿望也很强烈。</w:t>
      </w:r>
    </w:p>
    <w:p>
      <w:pPr>
        <w:spacing w:line="60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2、原因分析</w:t>
      </w:r>
    </w:p>
    <w:p>
      <w:pPr>
        <w:spacing w:line="600" w:lineRule="exact"/>
        <w:ind w:firstLine="64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color w:val="auto"/>
          <w:sz w:val="32"/>
          <w:szCs w:val="32"/>
        </w:rPr>
        <w:t>美术馆为新成立单位，</w:t>
      </w:r>
      <w:r>
        <w:rPr>
          <w:rFonts w:hint="eastAsia" w:ascii="仿宋_GB2312" w:hAnsi="仿宋_GB2312" w:eastAsia="仿宋_GB2312" w:cs="仿宋_GB2312"/>
          <w:color w:val="auto"/>
          <w:sz w:val="32"/>
          <w:szCs w:val="32"/>
          <w:lang w:eastAsia="zh-CN"/>
        </w:rPr>
        <w:t>相关业务人员对</w:t>
      </w:r>
      <w:r>
        <w:rPr>
          <w:rFonts w:hint="eastAsia" w:ascii="仿宋_GB2312" w:hAnsi="仿宋_GB2312" w:eastAsia="仿宋_GB2312" w:cs="仿宋_GB2312"/>
          <w:color w:val="auto"/>
          <w:sz w:val="32"/>
          <w:szCs w:val="32"/>
          <w:lang w:val="en-US" w:eastAsia="zh-CN"/>
        </w:rPr>
        <w:t xml:space="preserve">绩效管理方面专业知识不足。各项指标的设置不够识完善，自评价工作还存在自我审定的局限性，影响评价质量。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rPr>
        <w:t>美术馆为新成立单位，观众对美术馆的认知还</w:t>
      </w:r>
      <w:r>
        <w:rPr>
          <w:rFonts w:hint="eastAsia" w:ascii="仿宋_GB2312" w:hAnsi="仿宋_GB2312" w:eastAsia="仿宋_GB2312" w:cs="仿宋_GB2312"/>
          <w:sz w:val="32"/>
          <w:szCs w:val="32"/>
        </w:rPr>
        <w:t>停留在庙会和艺术巴扎等状态，对美术馆的要求和美术馆的目前功能及专业方向和层次不慎匹配。新疆美术馆自开馆以来不断琢磨，不断反思，不断改进，力求更好地履行公共文化服务职能，满足人民群众对美好生活的精神文化需求与期待的重点工作。</w:t>
      </w:r>
    </w:p>
    <w:p>
      <w:pPr>
        <w:pStyle w:val="2"/>
      </w:pPr>
    </w:p>
    <w:p>
      <w:pPr>
        <w:shd w:val="clear"/>
        <w:spacing w:line="600" w:lineRule="exact"/>
        <w:ind w:firstLine="640" w:firstLineChars="200"/>
        <w:outlineLvl w:val="0"/>
        <w:rPr>
          <w:rFonts w:hint="eastAsia" w:ascii="仿宋_GB2312" w:hAnsi="仿宋_GB2312" w:eastAsia="仿宋_GB2312" w:cs="仿宋_GB2312"/>
          <w:color w:val="7030A0"/>
          <w:sz w:val="32"/>
          <w:szCs w:val="32"/>
          <w:highlight w:val="none"/>
          <w:lang w:val="en-US" w:eastAsia="zh-CN"/>
        </w:rPr>
      </w:pPr>
    </w:p>
    <w:p>
      <w:pPr>
        <w:spacing w:line="560" w:lineRule="exact"/>
        <w:ind w:firstLine="640" w:firstLineChars="200"/>
        <w:rPr>
          <w:rFonts w:eastAsia="黑体"/>
          <w:color w:val="auto"/>
          <w:sz w:val="32"/>
          <w:szCs w:val="32"/>
        </w:rPr>
      </w:pPr>
      <w:r>
        <w:rPr>
          <w:rFonts w:hint="eastAsia" w:eastAsia="黑体"/>
          <w:color w:val="auto"/>
          <w:sz w:val="32"/>
          <w:szCs w:val="32"/>
          <w:lang w:eastAsia="zh-Hans"/>
        </w:rPr>
        <w:t>七、</w:t>
      </w:r>
      <w:r>
        <w:rPr>
          <w:rFonts w:eastAsia="黑体"/>
          <w:color w:val="auto"/>
          <w:sz w:val="32"/>
          <w:szCs w:val="32"/>
        </w:rPr>
        <w:t>有关建议</w:t>
      </w:r>
    </w:p>
    <w:p>
      <w:pPr>
        <w:shd w:val="clear"/>
        <w:spacing w:line="60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color w:val="auto"/>
          <w:sz w:val="22"/>
          <w:szCs w:val="28"/>
        </w:rPr>
      </w:pPr>
      <w:r>
        <w:rPr>
          <w:rFonts w:hint="eastAsia" w:ascii="仿宋_GB2312" w:hAnsi="仿宋_GB2312" w:eastAsia="仿宋_GB2312" w:cs="仿宋_GB2312"/>
          <w:color w:val="auto"/>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color w:val="auto"/>
          <w:sz w:val="36"/>
          <w:szCs w:val="32"/>
        </w:rPr>
        <w:t>。</w:t>
      </w:r>
    </w:p>
    <w:p>
      <w:pPr>
        <w:shd w:val="clear"/>
        <w:spacing w:line="60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进一步加强对绩效管理工作的组织领导，提高对预算绩效管理工作重要性的认识，总结经验查找问题，抓紧研究制定更全面更完善的绩效评价管理办法。结合美术馆考核建立绩效工作考核制度，加大全局对全面实施预算绩效管理和绩效管理工作的学习力度，让“花钱必问效，无效必问责”的理念深入工作每个环节。</w:t>
      </w:r>
    </w:p>
    <w:p>
      <w:pPr>
        <w:spacing w:line="560" w:lineRule="exact"/>
        <w:ind w:firstLine="640" w:firstLineChars="200"/>
        <w:rPr>
          <w:rFonts w:eastAsia="黑体"/>
          <w:color w:val="auto"/>
          <w:sz w:val="32"/>
          <w:szCs w:val="32"/>
        </w:rPr>
      </w:pPr>
      <w:r>
        <w:rPr>
          <w:rFonts w:hint="eastAsia" w:eastAsia="黑体"/>
          <w:color w:val="auto"/>
          <w:sz w:val="32"/>
          <w:szCs w:val="32"/>
          <w:lang w:eastAsia="zh-Hans"/>
        </w:rPr>
        <w:t>八、</w:t>
      </w:r>
      <w:r>
        <w:rPr>
          <w:rFonts w:eastAsia="黑体"/>
          <w:color w:val="auto"/>
          <w:sz w:val="32"/>
          <w:szCs w:val="32"/>
        </w:rPr>
        <w:t>其他需要说</w:t>
      </w:r>
      <w:bookmarkStart w:id="6" w:name="page8"/>
      <w:bookmarkEnd w:id="6"/>
      <w:r>
        <w:rPr>
          <w:rFonts w:eastAsia="黑体"/>
          <w:color w:val="auto"/>
          <w:sz w:val="32"/>
          <w:szCs w:val="32"/>
        </w:rPr>
        <w:t>明的问题</w:t>
      </w:r>
    </w:p>
    <w:p>
      <w:pPr>
        <w:pStyle w:val="12"/>
        <w:spacing w:after="0"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本项目无其他需说明的问题。</w:t>
      </w:r>
    </w:p>
    <w:p>
      <w:pPr>
        <w:pStyle w:val="12"/>
        <w:spacing w:after="0" w:line="560" w:lineRule="exact"/>
        <w:ind w:left="0" w:leftChars="0" w:firstLine="640"/>
        <w:rPr>
          <w:rFonts w:ascii="仿宋_GB2312" w:hAnsi="仿宋_GB2312" w:eastAsia="仿宋_GB2312" w:cs="仿宋_GB2312"/>
          <w:color w:val="auto"/>
          <w:sz w:val="32"/>
          <w:szCs w:val="32"/>
        </w:rPr>
      </w:pPr>
    </w:p>
    <w:p>
      <w:pPr>
        <w:pStyle w:val="12"/>
        <w:spacing w:after="0" w:line="560" w:lineRule="exact"/>
        <w:ind w:left="0" w:leftChars="0" w:firstLine="640"/>
        <w:rPr>
          <w:rFonts w:ascii="仿宋_GB2312" w:hAnsi="仿宋_GB2312" w:eastAsia="仿宋_GB2312" w:cs="仿宋_GB2312"/>
          <w:color w:val="auto"/>
          <w:sz w:val="32"/>
          <w:szCs w:val="32"/>
        </w:rPr>
      </w:pPr>
    </w:p>
    <w:p>
      <w:pPr>
        <w:pStyle w:val="12"/>
        <w:spacing w:after="0" w:line="560" w:lineRule="exact"/>
        <w:ind w:left="0" w:leftChars="0" w:firstLine="0" w:firstLineChars="0"/>
        <w:rPr>
          <w:rFonts w:ascii="仿宋_GB2312" w:hAnsi="仿宋_GB2312" w:eastAsia="仿宋_GB2312" w:cs="仿宋_GB2312"/>
          <w:color w:val="auto"/>
          <w:sz w:val="32"/>
          <w:szCs w:val="32"/>
        </w:rPr>
      </w:pPr>
    </w:p>
    <w:p>
      <w:pPr>
        <w:widowControl/>
        <w:jc w:val="center"/>
        <w:textAlignment w:val="center"/>
        <w:rPr>
          <w:rFonts w:eastAsia="方正小标宋简体"/>
          <w:b/>
          <w:color w:val="auto"/>
          <w:kern w:val="0"/>
          <w:sz w:val="32"/>
          <w:szCs w:val="32"/>
          <w:lang w:bidi="ar"/>
        </w:rPr>
        <w:sectPr>
          <w:pgSz w:w="11906" w:h="16838"/>
          <w:pgMar w:top="1440" w:right="1558" w:bottom="1440" w:left="1800" w:header="851" w:footer="992" w:gutter="0"/>
          <w:cols w:space="425" w:num="1"/>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1"/>
        <w:gridCol w:w="567"/>
        <w:gridCol w:w="817"/>
        <w:gridCol w:w="518"/>
        <w:gridCol w:w="980"/>
        <w:gridCol w:w="419"/>
        <w:gridCol w:w="868"/>
        <w:gridCol w:w="875"/>
        <w:gridCol w:w="340"/>
        <w:gridCol w:w="249"/>
        <w:gridCol w:w="834"/>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38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免费开放运行保障经费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0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77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新疆美术馆（自治区书法艺术发展中心）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trPr>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43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新疆美术馆整体发展战略，开展藏品征集工作，在展示新中国成立以来新疆美术事业发展面貌的同时，以推动中国现当代艺术的国际化发展为主要目标，建构中国现当代美术史的新疆艺术作品收藏体系，完善新疆的艺术研究机制建立中国连接亚欧艺术的学术中心，进一步推动新疆美术事业的发展。</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新疆美术馆共推出6个重要展览，各展厅共接待17万余人次参观，累计接待172家团体，开展13场公教活动（线下11场，线上2场），活动具体参加人数为881人，活动覆盖人数达438611人（包含线上线下在内），丰富了新疆人民的艺术生活，提升了大众美育，公共文化服务效能明显提升，圆满完成计划工作，达到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1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p>
        </w:tc>
        <w:tc>
          <w:tcPr>
            <w:tcW w:w="1573" w:type="pct"/>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573" w:type="pct"/>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指标1：公教活动场次</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≥10场次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13场次</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线下活动11场，线上活动2场,提高年度指标值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指标2：举办展览场次</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≥6场次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6场次</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指标3：参观人次</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≥15万/人次</w:t>
            </w:r>
          </w:p>
        </w:tc>
        <w:tc>
          <w:tcPr>
            <w:tcW w:w="708" w:type="pct"/>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17万/人次</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指标4：公众号信息发布</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≥30篇</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线上看展17期，公共教育活动回顾47篇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指标5：提供公共文化服务</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≥200天</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209天</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指标1：项目按期完成率</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8" w:type="pct"/>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指标1：免费开放运行相关费用</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`=99.6万元</w:t>
            </w:r>
          </w:p>
        </w:tc>
        <w:tc>
          <w:tcPr>
            <w:tcW w:w="708" w:type="pct"/>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99.6万元</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指标2：展览策划筹备布展开展艺术教育费用</w:t>
            </w:r>
          </w:p>
        </w:tc>
        <w:tc>
          <w:tcPr>
            <w:tcW w:w="50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`=250.4万元</w:t>
            </w:r>
          </w:p>
        </w:tc>
        <w:tc>
          <w:tcPr>
            <w:tcW w:w="708" w:type="pct"/>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250.4万元</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指标1：保障社会审美需求</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指标1：参加活动人员满意度</w:t>
            </w:r>
          </w:p>
        </w:tc>
        <w:tc>
          <w:tcPr>
            <w:tcW w:w="505" w:type="pc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90.99%</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rPr>
      </w:pPr>
      <w:r>
        <w:rPr>
          <w:rFonts w:hint="eastAsia" w:ascii="黑体" w:hAnsi="黑体" w:eastAsia="黑体" w:cs="黑体"/>
          <w:bCs/>
          <w:sz w:val="32"/>
          <w:szCs w:val="32"/>
        </w:rPr>
        <w:t>附件1</w:t>
      </w:r>
    </w:p>
    <w:p>
      <w:pPr>
        <w:spacing w:line="700" w:lineRule="exact"/>
        <w:jc w:val="center"/>
        <w:rPr>
          <w:sz w:val="28"/>
          <w:szCs w:val="40"/>
        </w:rPr>
      </w:pPr>
      <w:bookmarkStart w:id="7" w:name="_Toc30064_WPSOffice_Level1"/>
      <w:bookmarkStart w:id="8" w:name="_Toc26499_WPSOffice_Level2"/>
      <w:r>
        <w:rPr>
          <w:rFonts w:hint="eastAsia" w:ascii="Times New Roman" w:hAnsi="Times New Roman" w:eastAsia="宋体" w:cs="Times New Roman"/>
          <w:b/>
          <w:bCs/>
          <w:kern w:val="0"/>
          <w:sz w:val="28"/>
          <w:szCs w:val="40"/>
          <w:lang w:val="en-US" w:eastAsia="zh-CN" w:bidi="ar-SA"/>
        </w:rPr>
        <w:t>免费开放运行保障经费</w:t>
      </w:r>
      <w:r>
        <w:rPr>
          <w:rFonts w:hint="eastAsia"/>
          <w:b/>
          <w:bCs/>
          <w:sz w:val="28"/>
          <w:szCs w:val="40"/>
          <w:highlight w:val="none"/>
        </w:rPr>
        <w:t>项目绩</w:t>
      </w:r>
      <w:r>
        <w:rPr>
          <w:rFonts w:hint="eastAsia"/>
          <w:b/>
          <w:bCs/>
          <w:sz w:val="28"/>
          <w:szCs w:val="40"/>
        </w:rPr>
        <w:t>效评价指标体系及综合评分表</w:t>
      </w:r>
      <w:bookmarkEnd w:id="7"/>
      <w:bookmarkEnd w:id="8"/>
    </w:p>
    <w:tbl>
      <w:tblPr>
        <w:tblStyle w:val="13"/>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32"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764"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873"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2353"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5198"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1363"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2353" w:type="dxa"/>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5198" w:type="dxa"/>
            <w:shd w:val="clear" w:color="auto" w:fill="FFFFFF"/>
            <w:vAlign w:val="center"/>
          </w:tcPr>
          <w:p>
            <w:pPr>
              <w:widowControl/>
              <w:spacing w:line="0" w:lineRule="atLeast"/>
              <w:jc w:val="left"/>
              <w:rPr>
                <w:rFonts w:hint="eastAsia" w:eastAsia="宋体"/>
                <w:color w:val="000000"/>
                <w:kern w:val="0"/>
                <w:sz w:val="22"/>
                <w:szCs w:val="22"/>
                <w:lang w:eastAsia="zh-CN"/>
              </w:rPr>
            </w:pPr>
            <w:r>
              <w:rPr>
                <w:color w:val="000000"/>
                <w:kern w:val="0"/>
                <w:sz w:val="22"/>
                <w:szCs w:val="22"/>
              </w:rPr>
              <w:t>评价要点：</w:t>
            </w:r>
          </w:p>
          <w:p>
            <w:pPr>
              <w:widowControl/>
              <w:spacing w:line="0" w:lineRule="atLeast"/>
              <w:jc w:val="left"/>
              <w:rPr>
                <w:rFonts w:hint="eastAsia" w:eastAsia="宋体"/>
                <w:color w:val="000000"/>
                <w:kern w:val="0"/>
                <w:sz w:val="22"/>
                <w:szCs w:val="22"/>
                <w:lang w:eastAsia="zh-CN"/>
              </w:rPr>
            </w:pPr>
            <w:r>
              <w:rPr>
                <w:color w:val="000000"/>
                <w:kern w:val="0"/>
                <w:sz w:val="22"/>
                <w:szCs w:val="22"/>
              </w:rPr>
              <w:t>①项目立项是否符合国家法律法规、国民经济发展规划和相关政策；</w:t>
            </w:r>
          </w:p>
          <w:p>
            <w:pPr>
              <w:widowControl/>
              <w:spacing w:line="0" w:lineRule="atLeast"/>
              <w:jc w:val="left"/>
              <w:rPr>
                <w:rFonts w:hint="eastAsia" w:eastAsia="宋体"/>
                <w:color w:val="000000"/>
                <w:kern w:val="0"/>
                <w:sz w:val="22"/>
                <w:szCs w:val="22"/>
                <w:lang w:eastAsia="zh-CN"/>
              </w:rPr>
            </w:pPr>
            <w:r>
              <w:rPr>
                <w:color w:val="000000"/>
                <w:kern w:val="0"/>
                <w:sz w:val="22"/>
                <w:szCs w:val="22"/>
              </w:rPr>
              <w:t>②项目立项是否符合行业发展规划和政策要求；</w:t>
            </w:r>
          </w:p>
          <w:p>
            <w:pPr>
              <w:widowControl/>
              <w:spacing w:line="0" w:lineRule="atLeast"/>
              <w:jc w:val="left"/>
              <w:rPr>
                <w:rFonts w:hint="eastAsia" w:eastAsia="宋体"/>
                <w:color w:val="000000"/>
                <w:kern w:val="0"/>
                <w:sz w:val="22"/>
                <w:szCs w:val="22"/>
                <w:lang w:eastAsia="zh-CN"/>
              </w:rPr>
            </w:pPr>
            <w:r>
              <w:rPr>
                <w:color w:val="000000"/>
                <w:kern w:val="0"/>
                <w:sz w:val="22"/>
                <w:szCs w:val="22"/>
              </w:rPr>
              <w:t>③项目立项是否与部门职责范围相符，属于部门履职所需；</w:t>
            </w:r>
          </w:p>
          <w:p>
            <w:pPr>
              <w:widowControl/>
              <w:spacing w:line="0" w:lineRule="atLeast"/>
              <w:jc w:val="left"/>
              <w:rPr>
                <w:rFonts w:hint="eastAsia" w:eastAsia="宋体"/>
                <w:color w:val="000000"/>
                <w:kern w:val="0"/>
                <w:sz w:val="22"/>
                <w:szCs w:val="22"/>
                <w:lang w:eastAsia="zh-CN"/>
              </w:rPr>
            </w:pPr>
            <w:r>
              <w:rPr>
                <w:color w:val="000000"/>
                <w:kern w:val="0"/>
                <w:sz w:val="22"/>
                <w:szCs w:val="22"/>
              </w:rPr>
              <w:t>④项目是否属于公共财政支持范围，是否符合中央、地方事权支出责任划分原则；</w:t>
            </w:r>
          </w:p>
          <w:p>
            <w:pPr>
              <w:widowControl/>
              <w:spacing w:line="0" w:lineRule="atLeast"/>
              <w:jc w:val="left"/>
              <w:rPr>
                <w:color w:val="000000"/>
                <w:kern w:val="0"/>
                <w:sz w:val="22"/>
                <w:szCs w:val="22"/>
              </w:rPr>
            </w:pPr>
            <w:r>
              <w:rPr>
                <w:color w:val="000000"/>
                <w:kern w:val="0"/>
                <w:sz w:val="22"/>
                <w:szCs w:val="22"/>
              </w:rPr>
              <w:t>⑤项目是否与相关部门同类项目或部门内部相关项目重复。</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vMerge w:val="continue"/>
            <w:shd w:val="clear" w:color="auto" w:fill="FFFFFF"/>
            <w:vAlign w:val="center"/>
          </w:tcPr>
          <w:p>
            <w:pPr>
              <w:widowControl/>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2353" w:type="dxa"/>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5198" w:type="dxa"/>
            <w:shd w:val="clear" w:color="auto" w:fill="FFFFFF"/>
            <w:vAlign w:val="center"/>
          </w:tcPr>
          <w:p>
            <w:pPr>
              <w:widowControl/>
              <w:spacing w:line="0" w:lineRule="atLeast"/>
              <w:jc w:val="left"/>
              <w:rPr>
                <w:rFonts w:hint="eastAsia" w:eastAsia="宋体"/>
                <w:color w:val="000000"/>
                <w:kern w:val="0"/>
                <w:sz w:val="22"/>
                <w:szCs w:val="22"/>
                <w:lang w:eastAsia="zh-CN"/>
              </w:rPr>
            </w:pPr>
            <w:r>
              <w:rPr>
                <w:color w:val="000000"/>
                <w:kern w:val="0"/>
                <w:sz w:val="22"/>
                <w:szCs w:val="22"/>
              </w:rPr>
              <w:t>评价要点：</w:t>
            </w:r>
          </w:p>
          <w:p>
            <w:pPr>
              <w:widowControl/>
              <w:spacing w:line="0" w:lineRule="atLeast"/>
              <w:jc w:val="left"/>
              <w:rPr>
                <w:rFonts w:hint="eastAsia" w:eastAsia="宋体"/>
                <w:color w:val="000000"/>
                <w:kern w:val="0"/>
                <w:sz w:val="22"/>
                <w:szCs w:val="22"/>
                <w:lang w:eastAsia="zh-CN"/>
              </w:rPr>
            </w:pPr>
            <w:r>
              <w:rPr>
                <w:color w:val="000000"/>
                <w:kern w:val="0"/>
                <w:sz w:val="22"/>
                <w:szCs w:val="22"/>
              </w:rPr>
              <w:t>①项目是否按照规定的程序申请设立；</w:t>
            </w:r>
          </w:p>
          <w:p>
            <w:pPr>
              <w:widowControl/>
              <w:spacing w:line="0" w:lineRule="atLeast"/>
              <w:jc w:val="left"/>
              <w:rPr>
                <w:rFonts w:hint="eastAsia" w:eastAsia="宋体"/>
                <w:color w:val="000000"/>
                <w:kern w:val="0"/>
                <w:sz w:val="22"/>
                <w:szCs w:val="22"/>
                <w:lang w:eastAsia="zh-CN"/>
              </w:rPr>
            </w:pPr>
            <w:r>
              <w:rPr>
                <w:color w:val="000000"/>
                <w:kern w:val="0"/>
                <w:sz w:val="22"/>
                <w:szCs w:val="22"/>
              </w:rPr>
              <w:t>②审批文件、材料是否符合相关要求；</w:t>
            </w:r>
          </w:p>
          <w:p>
            <w:pPr>
              <w:widowControl/>
              <w:spacing w:line="0" w:lineRule="atLeast"/>
              <w:jc w:val="left"/>
              <w:rPr>
                <w:color w:val="000000"/>
                <w:kern w:val="0"/>
                <w:sz w:val="22"/>
                <w:szCs w:val="22"/>
              </w:rPr>
            </w:pPr>
            <w:r>
              <w:rPr>
                <w:color w:val="000000"/>
                <w:kern w:val="0"/>
                <w:sz w:val="22"/>
                <w:szCs w:val="22"/>
              </w:rPr>
              <w:t>③事前是否已经过必要的可行性研究、专家论证、风险评估、绩效评估、集体决策。</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5198" w:type="dxa"/>
            <w:shd w:val="clear" w:color="000000" w:fill="FFFFFF"/>
            <w:vAlign w:val="center"/>
          </w:tcPr>
          <w:p>
            <w:pPr>
              <w:widowControl/>
              <w:spacing w:line="0" w:lineRule="atLeast"/>
              <w:jc w:val="left"/>
              <w:rPr>
                <w:rFonts w:hint="eastAsia" w:eastAsia="宋体"/>
                <w:color w:val="000000"/>
                <w:kern w:val="0"/>
                <w:sz w:val="22"/>
                <w:szCs w:val="22"/>
                <w:lang w:eastAsia="zh-CN"/>
              </w:rPr>
            </w:pPr>
            <w:r>
              <w:rPr>
                <w:color w:val="000000"/>
                <w:kern w:val="0"/>
                <w:sz w:val="22"/>
                <w:szCs w:val="22"/>
              </w:rPr>
              <w:t>评价要点：</w:t>
            </w:r>
          </w:p>
          <w:p>
            <w:pPr>
              <w:widowControl/>
              <w:spacing w:line="0" w:lineRule="atLeast"/>
              <w:jc w:val="left"/>
              <w:rPr>
                <w:rFonts w:hint="eastAsia" w:eastAsia="宋体"/>
                <w:color w:val="000000"/>
                <w:kern w:val="0"/>
                <w:sz w:val="22"/>
                <w:szCs w:val="22"/>
                <w:lang w:eastAsia="zh-CN"/>
              </w:rPr>
            </w:pPr>
            <w:r>
              <w:rPr>
                <w:color w:val="000000"/>
                <w:kern w:val="0"/>
                <w:sz w:val="22"/>
                <w:szCs w:val="22"/>
              </w:rPr>
              <w:t>（如未设定预算绩效目标，也可考核其他工作任务目标）</w:t>
            </w:r>
          </w:p>
          <w:p>
            <w:pPr>
              <w:widowControl/>
              <w:spacing w:line="0" w:lineRule="atLeast"/>
              <w:jc w:val="left"/>
              <w:rPr>
                <w:rFonts w:hint="eastAsia" w:eastAsia="宋体"/>
                <w:color w:val="000000"/>
                <w:kern w:val="0"/>
                <w:sz w:val="22"/>
                <w:szCs w:val="22"/>
                <w:lang w:eastAsia="zh-CN"/>
              </w:rPr>
            </w:pPr>
            <w:r>
              <w:rPr>
                <w:color w:val="000000"/>
                <w:kern w:val="0"/>
                <w:sz w:val="22"/>
                <w:szCs w:val="22"/>
              </w:rPr>
              <w:t>①项目是否有绩效目标；</w:t>
            </w:r>
          </w:p>
          <w:p>
            <w:pPr>
              <w:widowControl/>
              <w:spacing w:line="0" w:lineRule="atLeast"/>
              <w:jc w:val="left"/>
              <w:rPr>
                <w:rFonts w:hint="eastAsia" w:eastAsia="宋体"/>
                <w:color w:val="000000"/>
                <w:kern w:val="0"/>
                <w:sz w:val="22"/>
                <w:szCs w:val="22"/>
                <w:lang w:eastAsia="zh-CN"/>
              </w:rPr>
            </w:pPr>
            <w:r>
              <w:rPr>
                <w:color w:val="000000"/>
                <w:kern w:val="0"/>
                <w:sz w:val="22"/>
                <w:szCs w:val="22"/>
              </w:rPr>
              <w:t>②项目绩效目标与实际工作内容是否具有相关性；</w:t>
            </w:r>
          </w:p>
          <w:p>
            <w:pPr>
              <w:widowControl/>
              <w:spacing w:line="0" w:lineRule="atLeast"/>
              <w:jc w:val="left"/>
              <w:rPr>
                <w:color w:val="000000"/>
                <w:kern w:val="0"/>
                <w:sz w:val="22"/>
                <w:szCs w:val="22"/>
              </w:rPr>
            </w:pP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vMerge w:val="continue"/>
            <w:shd w:val="clear" w:color="auto" w:fill="FFFFFF"/>
            <w:vAlign w:val="center"/>
          </w:tcPr>
          <w:p>
            <w:pPr>
              <w:widowControl/>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①是否将项目绩效目标细化分解为具体的绩效指标；</w:t>
            </w:r>
          </w:p>
          <w:p>
            <w:pPr>
              <w:widowControl/>
              <w:spacing w:line="0" w:lineRule="atLeast"/>
              <w:rPr>
                <w:rFonts w:hint="eastAsia" w:eastAsia="宋体"/>
                <w:color w:val="000000"/>
                <w:kern w:val="0"/>
                <w:sz w:val="22"/>
                <w:szCs w:val="22"/>
                <w:lang w:eastAsia="zh-CN"/>
              </w:rPr>
            </w:pPr>
            <w:r>
              <w:rPr>
                <w:color w:val="000000"/>
                <w:kern w:val="0"/>
                <w:sz w:val="22"/>
                <w:szCs w:val="22"/>
              </w:rPr>
              <w:t>②是否通过清晰、可衡量的指标值予以体现；</w:t>
            </w:r>
          </w:p>
          <w:p>
            <w:pPr>
              <w:widowControl/>
              <w:spacing w:line="0" w:lineRule="atLeast"/>
              <w:rPr>
                <w:rFonts w:hint="eastAsia" w:eastAsia="宋体"/>
                <w:color w:val="000000"/>
                <w:kern w:val="0"/>
                <w:sz w:val="22"/>
                <w:szCs w:val="22"/>
                <w:lang w:eastAsia="zh-CN"/>
              </w:rPr>
            </w:pPr>
            <w:r>
              <w:rPr>
                <w:color w:val="000000"/>
                <w:kern w:val="0"/>
                <w:sz w:val="22"/>
                <w:szCs w:val="22"/>
              </w:rPr>
              <w:t>③是否与项目目标任务数或计划数相对应。</w:t>
            </w:r>
          </w:p>
          <w:p>
            <w:pPr>
              <w:pStyle w:val="2"/>
              <w:rPr>
                <w:rFonts w:hint="eastAsia"/>
                <w:lang w:eastAsia="zh-CN"/>
              </w:rPr>
            </w:pP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2353" w:type="dxa"/>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5198" w:type="dxa"/>
            <w:shd w:val="clear" w:color="auto"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①预算编制是否经过科学论证；</w:t>
            </w:r>
          </w:p>
          <w:p>
            <w:pPr>
              <w:widowControl/>
              <w:spacing w:line="0" w:lineRule="atLeast"/>
              <w:rPr>
                <w:rFonts w:hint="eastAsia" w:eastAsia="宋体"/>
                <w:color w:val="000000"/>
                <w:kern w:val="0"/>
                <w:sz w:val="22"/>
                <w:szCs w:val="22"/>
                <w:lang w:eastAsia="zh-CN"/>
              </w:rPr>
            </w:pPr>
            <w:r>
              <w:rPr>
                <w:color w:val="000000"/>
                <w:kern w:val="0"/>
                <w:sz w:val="22"/>
                <w:szCs w:val="22"/>
              </w:rPr>
              <w:t>②预算内容与项目内容是否匹配；</w:t>
            </w:r>
          </w:p>
          <w:p>
            <w:pPr>
              <w:widowControl/>
              <w:spacing w:line="0" w:lineRule="atLeast"/>
              <w:rPr>
                <w:rFonts w:hint="eastAsia" w:eastAsia="宋体"/>
                <w:color w:val="000000"/>
                <w:kern w:val="0"/>
                <w:sz w:val="22"/>
                <w:szCs w:val="22"/>
                <w:lang w:eastAsia="zh-CN"/>
              </w:rPr>
            </w:pPr>
            <w:r>
              <w:rPr>
                <w:color w:val="000000"/>
                <w:kern w:val="0"/>
                <w:sz w:val="22"/>
                <w:szCs w:val="22"/>
              </w:rPr>
              <w:t>③预算额度测算依据是否充分，是否按照标准编制；</w:t>
            </w:r>
          </w:p>
          <w:p>
            <w:pPr>
              <w:widowControl/>
              <w:spacing w:line="0" w:lineRule="atLeast"/>
              <w:rPr>
                <w:color w:val="000000"/>
                <w:kern w:val="0"/>
                <w:sz w:val="22"/>
                <w:szCs w:val="22"/>
              </w:rPr>
            </w:pPr>
            <w:r>
              <w:rPr>
                <w:color w:val="000000"/>
                <w:kern w:val="0"/>
                <w:sz w:val="22"/>
                <w:szCs w:val="22"/>
              </w:rPr>
              <w:t>④预算确定的项目投资额或资金量是否与工作任务相匹配。</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vMerge w:val="continue"/>
            <w:shd w:val="clear" w:color="auto" w:fill="FFFFFF"/>
            <w:vAlign w:val="center"/>
          </w:tcPr>
          <w:p>
            <w:pPr>
              <w:widowControl/>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2353" w:type="dxa"/>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5198" w:type="dxa"/>
            <w:shd w:val="clear" w:color="auto"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①预算资金分配依据是否充分；</w:t>
            </w:r>
          </w:p>
          <w:p>
            <w:pPr>
              <w:widowControl/>
              <w:spacing w:line="0" w:lineRule="atLeast"/>
              <w:rPr>
                <w:color w:val="000000"/>
                <w:kern w:val="0"/>
                <w:sz w:val="22"/>
                <w:szCs w:val="22"/>
              </w:rPr>
            </w:pPr>
            <w:r>
              <w:rPr>
                <w:color w:val="000000"/>
                <w:kern w:val="0"/>
                <w:sz w:val="22"/>
                <w:szCs w:val="22"/>
              </w:rPr>
              <w:t>②资金分配额度是否合理，与项目单位或地方实际是否相适应。</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32" w:type="dxa"/>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5198" w:type="dxa"/>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vMerge w:val="continue"/>
            <w:shd w:val="clear" w:color="auto" w:fill="FFFFFF"/>
            <w:vAlign w:val="center"/>
          </w:tcPr>
          <w:p>
            <w:pPr>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2353" w:type="dxa"/>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5198" w:type="dxa"/>
            <w:shd w:val="clear" w:color="auto"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预算执行率=（实际支出资金/实际到位资金）×100%。</w:t>
            </w:r>
          </w:p>
          <w:p>
            <w:pPr>
              <w:widowControl/>
              <w:spacing w:line="0" w:lineRule="atLeast"/>
              <w:rPr>
                <w:color w:val="000000"/>
                <w:kern w:val="0"/>
                <w:sz w:val="22"/>
                <w:szCs w:val="22"/>
              </w:rPr>
            </w:pPr>
            <w:r>
              <w:rPr>
                <w:color w:val="000000"/>
                <w:kern w:val="0"/>
                <w:sz w:val="22"/>
                <w:szCs w:val="22"/>
              </w:rPr>
              <w:t>实际支出资金：一定时期（本年度或项目期）内项目实际拨付的资金。</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①是否符合国家财经法规和财务管理制度以及有关专项资金管理办法的规定；</w:t>
            </w:r>
          </w:p>
          <w:p>
            <w:pPr>
              <w:widowControl/>
              <w:spacing w:line="0" w:lineRule="atLeast"/>
              <w:rPr>
                <w:rFonts w:hint="eastAsia" w:eastAsia="宋体"/>
                <w:color w:val="000000"/>
                <w:kern w:val="0"/>
                <w:sz w:val="22"/>
                <w:szCs w:val="22"/>
                <w:lang w:eastAsia="zh-CN"/>
              </w:rPr>
            </w:pPr>
            <w:r>
              <w:rPr>
                <w:color w:val="000000"/>
                <w:kern w:val="0"/>
                <w:sz w:val="22"/>
                <w:szCs w:val="22"/>
              </w:rPr>
              <w:t>②资金的拨付是否有完整的审批程序和手续；</w:t>
            </w:r>
          </w:p>
          <w:p>
            <w:pPr>
              <w:widowControl/>
              <w:spacing w:line="0" w:lineRule="atLeast"/>
              <w:rPr>
                <w:rFonts w:hint="eastAsia" w:eastAsia="宋体"/>
                <w:color w:val="000000"/>
                <w:kern w:val="0"/>
                <w:sz w:val="22"/>
                <w:szCs w:val="22"/>
                <w:lang w:eastAsia="zh-CN"/>
              </w:rPr>
            </w:pPr>
            <w:r>
              <w:rPr>
                <w:color w:val="000000"/>
                <w:kern w:val="0"/>
                <w:sz w:val="22"/>
                <w:szCs w:val="22"/>
              </w:rPr>
              <w:t>③是否符合项目预算批复或合同规定的用途；</w:t>
            </w:r>
          </w:p>
          <w:p>
            <w:pPr>
              <w:widowControl/>
              <w:spacing w:line="0" w:lineRule="atLeast"/>
              <w:rPr>
                <w:color w:val="000000"/>
                <w:kern w:val="0"/>
                <w:sz w:val="22"/>
                <w:szCs w:val="22"/>
              </w:rPr>
            </w:pPr>
            <w:r>
              <w:rPr>
                <w:color w:val="000000"/>
                <w:kern w:val="0"/>
                <w:sz w:val="22"/>
                <w:szCs w:val="22"/>
              </w:rPr>
              <w:t>④是否存在截留、挤占、挪用、虚列支出等情况。</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①是否已制定或具有相应的财务和业务管理制度；</w:t>
            </w:r>
          </w:p>
          <w:p>
            <w:pPr>
              <w:widowControl/>
              <w:spacing w:line="0" w:lineRule="atLeast"/>
              <w:rPr>
                <w:color w:val="000000"/>
                <w:kern w:val="0"/>
                <w:sz w:val="22"/>
                <w:szCs w:val="22"/>
              </w:rPr>
            </w:pPr>
            <w:r>
              <w:rPr>
                <w:color w:val="000000"/>
                <w:kern w:val="0"/>
                <w:sz w:val="22"/>
                <w:szCs w:val="22"/>
              </w:rPr>
              <w:t>②财务和业务管理制度是否合法、合规、完整。</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vMerge w:val="continue"/>
            <w:shd w:val="clear" w:color="auto" w:fill="FFFFFF"/>
            <w:vAlign w:val="center"/>
          </w:tcPr>
          <w:p>
            <w:pPr>
              <w:widowControl/>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评价要点：</w:t>
            </w:r>
          </w:p>
          <w:p>
            <w:pPr>
              <w:widowControl/>
              <w:spacing w:line="0" w:lineRule="atLeast"/>
              <w:rPr>
                <w:rFonts w:hint="eastAsia" w:eastAsia="宋体"/>
                <w:color w:val="000000"/>
                <w:kern w:val="0"/>
                <w:sz w:val="22"/>
                <w:szCs w:val="22"/>
                <w:lang w:eastAsia="zh-CN"/>
              </w:rPr>
            </w:pPr>
            <w:r>
              <w:rPr>
                <w:color w:val="000000"/>
                <w:kern w:val="0"/>
                <w:sz w:val="22"/>
                <w:szCs w:val="22"/>
              </w:rPr>
              <w:t>①是否遵守相关法律法规和相关管理规定；</w:t>
            </w:r>
          </w:p>
          <w:p>
            <w:pPr>
              <w:widowControl/>
              <w:spacing w:line="0" w:lineRule="atLeast"/>
              <w:rPr>
                <w:rFonts w:hint="eastAsia" w:eastAsia="宋体"/>
                <w:color w:val="000000"/>
                <w:kern w:val="0"/>
                <w:sz w:val="22"/>
                <w:szCs w:val="22"/>
                <w:lang w:eastAsia="zh-CN"/>
              </w:rPr>
            </w:pPr>
            <w:r>
              <w:rPr>
                <w:color w:val="000000"/>
                <w:kern w:val="0"/>
                <w:sz w:val="22"/>
                <w:szCs w:val="22"/>
              </w:rPr>
              <w:t>②项目调整及支出调整手续是否完备；</w:t>
            </w:r>
          </w:p>
          <w:p>
            <w:pPr>
              <w:widowControl/>
              <w:spacing w:line="0" w:lineRule="atLeast"/>
              <w:rPr>
                <w:rFonts w:hint="eastAsia" w:eastAsia="宋体"/>
                <w:color w:val="000000"/>
                <w:kern w:val="0"/>
                <w:sz w:val="22"/>
                <w:szCs w:val="22"/>
                <w:lang w:eastAsia="zh-CN"/>
              </w:rPr>
            </w:pPr>
            <w:r>
              <w:rPr>
                <w:color w:val="000000"/>
                <w:kern w:val="0"/>
                <w:sz w:val="22"/>
                <w:szCs w:val="22"/>
              </w:rPr>
              <w:t>③项目合同书、验收报告、技术鉴定等资料是否齐全并及时归档；</w:t>
            </w:r>
          </w:p>
          <w:p>
            <w:pPr>
              <w:widowControl/>
              <w:spacing w:line="0" w:lineRule="atLeast"/>
              <w:rPr>
                <w:color w:val="000000"/>
                <w:kern w:val="0"/>
                <w:sz w:val="22"/>
                <w:szCs w:val="22"/>
              </w:rPr>
            </w:pPr>
            <w:r>
              <w:rPr>
                <w:color w:val="000000"/>
                <w:kern w:val="0"/>
                <w:sz w:val="22"/>
                <w:szCs w:val="22"/>
              </w:rPr>
              <w:t>④项目实施的人员条件、场地设备、信息支撑等是否落实到位。</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32"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764"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实际完成率=（实际产出数/计划产出数）×100%。</w:t>
            </w:r>
          </w:p>
          <w:p>
            <w:pPr>
              <w:widowControl/>
              <w:spacing w:line="0" w:lineRule="atLeast"/>
              <w:rPr>
                <w:rFonts w:hint="eastAsia" w:eastAsia="宋体"/>
                <w:color w:val="000000"/>
                <w:kern w:val="0"/>
                <w:sz w:val="22"/>
                <w:szCs w:val="22"/>
                <w:lang w:eastAsia="zh-CN"/>
              </w:rPr>
            </w:pPr>
            <w:r>
              <w:rPr>
                <w:color w:val="000000"/>
                <w:kern w:val="0"/>
                <w:sz w:val="22"/>
                <w:szCs w:val="22"/>
              </w:rPr>
              <w:t>实际产出数：一定时期（本年度或项目期）内项目实际产出的产品或提供的服务数量。</w:t>
            </w:r>
          </w:p>
          <w:p>
            <w:pPr>
              <w:widowControl/>
              <w:spacing w:line="0" w:lineRule="atLeast"/>
              <w:rPr>
                <w:color w:val="000000"/>
                <w:kern w:val="0"/>
                <w:sz w:val="22"/>
                <w:szCs w:val="22"/>
              </w:rPr>
            </w:pPr>
            <w:r>
              <w:rPr>
                <w:color w:val="000000"/>
                <w:kern w:val="0"/>
                <w:sz w:val="22"/>
                <w:szCs w:val="22"/>
              </w:rPr>
              <w:t>计划产出数：项目绩效目标确定的在一定时期（本年度或项目期）内计划产出的产品或提供的服务数量。</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5198" w:type="dxa"/>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32" w:type="dxa"/>
            <w:vMerge w:val="continue"/>
            <w:shd w:val="clear" w:color="auto" w:fill="FFFFFF"/>
            <w:vAlign w:val="center"/>
          </w:tcPr>
          <w:p>
            <w:pPr>
              <w:spacing w:line="0" w:lineRule="atLeast"/>
              <w:jc w:val="center"/>
              <w:rPr>
                <w:color w:val="000000"/>
                <w:kern w:val="0"/>
                <w:sz w:val="22"/>
                <w:szCs w:val="22"/>
              </w:rPr>
            </w:pPr>
          </w:p>
        </w:tc>
        <w:tc>
          <w:tcPr>
            <w:tcW w:w="764" w:type="dxa"/>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r>
              <w:rPr>
                <w:color w:val="000000"/>
                <w:kern w:val="0"/>
                <w:sz w:val="22"/>
                <w:szCs w:val="22"/>
              </w:rPr>
              <w:t>实际完成时间：项目实施单位完成该项目实际所耗用的时间。</w:t>
            </w:r>
          </w:p>
          <w:p>
            <w:pPr>
              <w:widowControl/>
              <w:spacing w:line="0" w:lineRule="atLeast"/>
              <w:rPr>
                <w:color w:val="000000"/>
                <w:kern w:val="0"/>
                <w:sz w:val="22"/>
                <w:szCs w:val="22"/>
              </w:rPr>
            </w:pPr>
            <w:r>
              <w:rPr>
                <w:color w:val="000000"/>
                <w:kern w:val="0"/>
                <w:sz w:val="22"/>
                <w:szCs w:val="22"/>
              </w:rPr>
              <w:t>计划完成时间：按照项目实施计划或相关规定完成该项目所需的时间。</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5198" w:type="dxa"/>
            <w:shd w:val="clear" w:color="000000" w:fill="FFFFFF"/>
            <w:vAlign w:val="center"/>
          </w:tcPr>
          <w:p>
            <w:pPr>
              <w:widowControl/>
              <w:spacing w:line="0" w:lineRule="atLeast"/>
              <w:rPr>
                <w:rFonts w:hint="eastAsia" w:eastAsia="宋体"/>
                <w:color w:val="000000"/>
                <w:kern w:val="0"/>
                <w:sz w:val="22"/>
                <w:szCs w:val="22"/>
                <w:lang w:eastAsia="zh-CN"/>
              </w:rPr>
            </w:pPr>
          </w:p>
          <w:p>
            <w:pPr>
              <w:widowControl/>
              <w:spacing w:line="0" w:lineRule="atLeast"/>
              <w:rPr>
                <w:rFonts w:hint="eastAsia" w:eastAsia="宋体"/>
                <w:color w:val="000000"/>
                <w:kern w:val="0"/>
                <w:sz w:val="22"/>
                <w:szCs w:val="22"/>
                <w:lang w:eastAsia="zh-CN"/>
              </w:rPr>
            </w:pPr>
            <w:r>
              <w:rPr>
                <w:color w:val="000000"/>
                <w:kern w:val="0"/>
                <w:sz w:val="22"/>
                <w:szCs w:val="22"/>
              </w:rPr>
              <w:t>成本节约率=[（计划成本-实际成本）/计划成本]×100%。</w:t>
            </w:r>
          </w:p>
          <w:p>
            <w:pPr>
              <w:widowControl/>
              <w:spacing w:line="0" w:lineRule="atLeast"/>
              <w:rPr>
                <w:rFonts w:hint="eastAsia" w:eastAsia="宋体"/>
                <w:color w:val="000000"/>
                <w:kern w:val="0"/>
                <w:sz w:val="22"/>
                <w:szCs w:val="22"/>
                <w:lang w:eastAsia="zh-CN"/>
              </w:rPr>
            </w:pPr>
            <w:r>
              <w:rPr>
                <w:color w:val="000000"/>
                <w:kern w:val="0"/>
                <w:sz w:val="22"/>
                <w:szCs w:val="22"/>
              </w:rPr>
              <w:t>实际成本：项目实施单位如期、保质、保量完成既定工作目标实际所耗费的支出。</w:t>
            </w:r>
          </w:p>
          <w:p>
            <w:pPr>
              <w:widowControl/>
              <w:spacing w:line="0" w:lineRule="atLeast"/>
              <w:rPr>
                <w:color w:val="000000"/>
                <w:kern w:val="0"/>
                <w:sz w:val="22"/>
                <w:szCs w:val="22"/>
              </w:rPr>
            </w:pPr>
            <w:r>
              <w:rPr>
                <w:color w:val="000000"/>
                <w:kern w:val="0"/>
                <w:sz w:val="22"/>
                <w:szCs w:val="22"/>
              </w:rPr>
              <w:t>计划成本：项目实施单位为完成工作目标计划安排的支出，一般以项目预算为参考。</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764" w:type="dxa"/>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2353" w:type="dxa"/>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5198" w:type="dxa"/>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1300"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rPr>
            </w:pPr>
          </w:p>
        </w:tc>
        <w:tc>
          <w:tcPr>
            <w:tcW w:w="764" w:type="dxa"/>
            <w:vMerge w:val="continue"/>
            <w:shd w:val="clear" w:color="auto" w:fill="FFFFFF"/>
            <w:vAlign w:val="center"/>
          </w:tcPr>
          <w:p>
            <w:pPr>
              <w:widowControl/>
              <w:spacing w:line="0" w:lineRule="atLeast"/>
              <w:jc w:val="center"/>
              <w:rPr>
                <w:color w:val="000000"/>
                <w:kern w:val="0"/>
                <w:sz w:val="22"/>
                <w:szCs w:val="22"/>
              </w:rPr>
            </w:pPr>
          </w:p>
        </w:tc>
        <w:tc>
          <w:tcPr>
            <w:tcW w:w="873" w:type="dxa"/>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2353" w:type="dxa"/>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5198" w:type="dxa"/>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1300"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Neue">
    <w:altName w:val="DejaVu Math TeX Gyre"/>
    <w:panose1 w:val="02000503000000020004"/>
    <w:charset w:val="00"/>
    <w:family w:val="auto"/>
    <w:pitch w:val="default"/>
    <w:sig w:usb0="00000000" w:usb1="00000000" w:usb2="0000001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44F4870"/>
    <w:rsid w:val="07397B77"/>
    <w:rsid w:val="0B4C4159"/>
    <w:rsid w:val="10831396"/>
    <w:rsid w:val="13471461"/>
    <w:rsid w:val="13B90F01"/>
    <w:rsid w:val="181066D2"/>
    <w:rsid w:val="19F975BB"/>
    <w:rsid w:val="1C671E73"/>
    <w:rsid w:val="1F6B2B37"/>
    <w:rsid w:val="25C139B3"/>
    <w:rsid w:val="264439EB"/>
    <w:rsid w:val="2766599E"/>
    <w:rsid w:val="27A43C15"/>
    <w:rsid w:val="2B897951"/>
    <w:rsid w:val="38CA40DD"/>
    <w:rsid w:val="395F2B56"/>
    <w:rsid w:val="3BECE841"/>
    <w:rsid w:val="3FF7797D"/>
    <w:rsid w:val="4B9E5471"/>
    <w:rsid w:val="51AC5CE7"/>
    <w:rsid w:val="52333378"/>
    <w:rsid w:val="5A581F75"/>
    <w:rsid w:val="5BFF6039"/>
    <w:rsid w:val="5D76A616"/>
    <w:rsid w:val="5D7F20B9"/>
    <w:rsid w:val="5DAC7D0E"/>
    <w:rsid w:val="5F98B5AF"/>
    <w:rsid w:val="5FFE8511"/>
    <w:rsid w:val="5FFEACE2"/>
    <w:rsid w:val="643EE26D"/>
    <w:rsid w:val="68765189"/>
    <w:rsid w:val="691E0FEB"/>
    <w:rsid w:val="6D552B78"/>
    <w:rsid w:val="6E5E1F50"/>
    <w:rsid w:val="6F5C41AC"/>
    <w:rsid w:val="6FAF6C78"/>
    <w:rsid w:val="70552502"/>
    <w:rsid w:val="7317C656"/>
    <w:rsid w:val="734ED73F"/>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 w:type="paragraph" w:customStyle="1" w:styleId="23">
    <w:name w:val="p3"/>
    <w:basedOn w:val="1"/>
    <w:qFormat/>
    <w:uiPriority w:val="0"/>
    <w:pPr>
      <w:spacing w:before="0" w:beforeAutospacing="0" w:after="0" w:afterAutospacing="0"/>
      <w:ind w:left="0" w:right="0"/>
      <w:jc w:val="left"/>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10072</Words>
  <Characters>10479</Characters>
  <Lines>58</Lines>
  <Paragraphs>16</Paragraphs>
  <TotalTime>20</TotalTime>
  <ScaleCrop>false</ScaleCrop>
  <LinksUpToDate>false</LinksUpToDate>
  <CharactersWithSpaces>10727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2024-01-09T12:29:52Z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0D6ADC951A5D4E83B8B96AEEE494D267_13</vt:lpwstr>
  </property>
</Properties>
</file>